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95" w:rsidRDefault="006B2695" w:rsidP="001B1AE0">
      <w:pPr>
        <w:pStyle w:val="Sansinterligne"/>
        <w:ind w:right="-50"/>
        <w:jc w:val="center"/>
        <w:rPr>
          <w:rFonts w:ascii="Arial" w:hAnsi="Arial" w:cs="Arial"/>
          <w:sz w:val="32"/>
          <w:szCs w:val="32"/>
        </w:rPr>
      </w:pPr>
      <w:r>
        <w:rPr>
          <w:rFonts w:ascii="Arial" w:hAnsi="Arial" w:cs="Arial"/>
          <w:sz w:val="32"/>
          <w:szCs w:val="32"/>
        </w:rPr>
        <w:t>Secteur de la production / Équipe de médiatisation</w:t>
      </w: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Pr="007C79FD" w:rsidRDefault="00124C80" w:rsidP="001B1AE0">
      <w:pPr>
        <w:pStyle w:val="Sansinterligne"/>
        <w:ind w:right="-50"/>
        <w:jc w:val="center"/>
        <w:rPr>
          <w:rFonts w:ascii="Arial" w:hAnsi="Arial" w:cs="Arial"/>
          <w:b/>
          <w:sz w:val="40"/>
          <w:szCs w:val="40"/>
        </w:rPr>
      </w:pPr>
      <w:r>
        <w:rPr>
          <w:rFonts w:ascii="Arial" w:hAnsi="Arial" w:cs="Arial"/>
          <w:b/>
          <w:sz w:val="40"/>
          <w:szCs w:val="40"/>
        </w:rPr>
        <w:t>Assurance Qualité</w:t>
      </w:r>
    </w:p>
    <w:p w:rsidR="006B2695" w:rsidRDefault="006B2695" w:rsidP="001B1AE0">
      <w:pPr>
        <w:pStyle w:val="Sansinterligne"/>
        <w:ind w:right="-50"/>
        <w:jc w:val="center"/>
        <w:rPr>
          <w:rFonts w:ascii="Arial" w:hAnsi="Arial" w:cs="Arial"/>
          <w:sz w:val="32"/>
          <w:szCs w:val="32"/>
        </w:rPr>
      </w:pPr>
    </w:p>
    <w:p w:rsidR="0050546D" w:rsidRDefault="0050546D"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Pr="0050546D" w:rsidRDefault="00124C80" w:rsidP="001B1AE0">
      <w:pPr>
        <w:pStyle w:val="Sansinterligne"/>
        <w:ind w:right="-50"/>
        <w:jc w:val="center"/>
        <w:rPr>
          <w:rFonts w:ascii="Arial" w:hAnsi="Arial" w:cs="Arial"/>
          <w:b/>
          <w:sz w:val="32"/>
          <w:szCs w:val="32"/>
        </w:rPr>
      </w:pPr>
      <w:r>
        <w:rPr>
          <w:rFonts w:ascii="Arial" w:hAnsi="Arial" w:cs="Arial"/>
          <w:b/>
          <w:sz w:val="32"/>
          <w:szCs w:val="32"/>
        </w:rPr>
        <w:t>Points importants à vérifier</w:t>
      </w: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1B1AE0">
      <w:pPr>
        <w:pStyle w:val="Sansinterligne"/>
        <w:ind w:right="-50"/>
        <w:jc w:val="center"/>
        <w:rPr>
          <w:rFonts w:ascii="Arial" w:hAnsi="Arial" w:cs="Arial"/>
          <w:sz w:val="32"/>
          <w:szCs w:val="32"/>
        </w:rPr>
      </w:pPr>
    </w:p>
    <w:p w:rsidR="006B2695" w:rsidRDefault="006B2695" w:rsidP="003D7E1C">
      <w:pPr>
        <w:pStyle w:val="Sansinterligne"/>
        <w:ind w:right="-50"/>
        <w:jc w:val="center"/>
        <w:rPr>
          <w:rFonts w:ascii="Arial" w:hAnsi="Arial" w:cs="Arial"/>
          <w:sz w:val="32"/>
          <w:szCs w:val="32"/>
        </w:rPr>
      </w:pPr>
    </w:p>
    <w:p w:rsidR="006B2695" w:rsidRDefault="006B2695" w:rsidP="003D7E1C">
      <w:pPr>
        <w:pStyle w:val="Sansinterligne"/>
        <w:ind w:right="-50"/>
        <w:jc w:val="center"/>
        <w:rPr>
          <w:rFonts w:ascii="Arial" w:hAnsi="Arial" w:cs="Arial"/>
          <w:sz w:val="32"/>
          <w:szCs w:val="32"/>
        </w:rPr>
      </w:pPr>
    </w:p>
    <w:p w:rsidR="006B2695" w:rsidRDefault="006B2695" w:rsidP="003D7E1C">
      <w:pPr>
        <w:pStyle w:val="Sansinterligne"/>
        <w:ind w:right="-50"/>
        <w:jc w:val="center"/>
        <w:rPr>
          <w:rFonts w:ascii="Arial" w:hAnsi="Arial" w:cs="Arial"/>
          <w:sz w:val="32"/>
          <w:szCs w:val="32"/>
        </w:rPr>
      </w:pPr>
    </w:p>
    <w:p w:rsidR="006B2695" w:rsidRDefault="00C149D7" w:rsidP="003D7E1C">
      <w:pPr>
        <w:pStyle w:val="Sansinterligne"/>
        <w:ind w:right="-50"/>
        <w:jc w:val="center"/>
        <w:rPr>
          <w:rFonts w:ascii="Arial" w:hAnsi="Arial" w:cs="Arial"/>
          <w:sz w:val="32"/>
          <w:szCs w:val="32"/>
        </w:rPr>
      </w:pPr>
      <w:r>
        <w:rPr>
          <w:rFonts w:ascii="Arial" w:hAnsi="Arial" w:cs="Arial"/>
          <w:sz w:val="32"/>
          <w:szCs w:val="32"/>
        </w:rPr>
        <w:t>Ma</w:t>
      </w:r>
      <w:r w:rsidR="00124C80">
        <w:rPr>
          <w:rFonts w:ascii="Arial" w:hAnsi="Arial" w:cs="Arial"/>
          <w:sz w:val="32"/>
          <w:szCs w:val="32"/>
        </w:rPr>
        <w:t>i</w:t>
      </w:r>
      <w:r w:rsidR="006B2695">
        <w:rPr>
          <w:rFonts w:ascii="Arial" w:hAnsi="Arial" w:cs="Arial"/>
          <w:sz w:val="32"/>
          <w:szCs w:val="32"/>
        </w:rPr>
        <w:t xml:space="preserve"> 201</w:t>
      </w:r>
      <w:r w:rsidR="006D50EB">
        <w:rPr>
          <w:rFonts w:ascii="Arial" w:hAnsi="Arial" w:cs="Arial"/>
          <w:sz w:val="32"/>
          <w:szCs w:val="32"/>
        </w:rPr>
        <w:t>6</w:t>
      </w:r>
    </w:p>
    <w:p w:rsidR="006B2695" w:rsidRDefault="006B2695" w:rsidP="003D7E1C">
      <w:pPr>
        <w:pStyle w:val="Sansinterligne"/>
        <w:ind w:right="-50"/>
        <w:jc w:val="center"/>
        <w:rPr>
          <w:rFonts w:ascii="Arial" w:hAnsi="Arial" w:cs="Arial"/>
          <w:sz w:val="32"/>
          <w:szCs w:val="32"/>
        </w:rPr>
      </w:pPr>
    </w:p>
    <w:p w:rsidR="006B2695" w:rsidRDefault="006B2695" w:rsidP="003D7E1C">
      <w:pPr>
        <w:pStyle w:val="Sansinterligne"/>
        <w:ind w:right="-50"/>
        <w:jc w:val="center"/>
        <w:rPr>
          <w:rFonts w:ascii="Arial" w:hAnsi="Arial" w:cs="Arial"/>
          <w:sz w:val="32"/>
          <w:szCs w:val="32"/>
        </w:rPr>
      </w:pPr>
    </w:p>
    <w:p w:rsidR="006B2695" w:rsidRDefault="006B2695" w:rsidP="003D7E1C">
      <w:pPr>
        <w:ind w:left="0" w:right="-50" w:firstLine="0"/>
        <w:jc w:val="center"/>
      </w:pPr>
    </w:p>
    <w:p w:rsidR="001C16BE" w:rsidRDefault="006B2695" w:rsidP="003D7E1C">
      <w:pPr>
        <w:ind w:left="709" w:right="-50"/>
        <w:jc w:val="center"/>
      </w:pPr>
      <w:r>
        <w:t>Cégep à Distance</w:t>
      </w:r>
    </w:p>
    <w:p w:rsidR="006B2695" w:rsidRDefault="006B2695" w:rsidP="003D7E1C">
      <w:pPr>
        <w:spacing w:after="160" w:line="259" w:lineRule="auto"/>
        <w:ind w:left="0" w:right="-50" w:firstLine="0"/>
        <w:jc w:val="center"/>
      </w:pPr>
      <w:r>
        <w:br w:type="page"/>
      </w:r>
    </w:p>
    <w:sdt>
      <w:sdtPr>
        <w:rPr>
          <w:rFonts w:asciiTheme="minorHAnsi" w:eastAsiaTheme="minorHAnsi" w:hAnsiTheme="minorHAnsi" w:cstheme="minorBidi"/>
          <w:color w:val="auto"/>
          <w:sz w:val="22"/>
          <w:szCs w:val="22"/>
          <w:lang w:val="fr-FR" w:eastAsia="en-US"/>
        </w:rPr>
        <w:id w:val="1289468306"/>
        <w:docPartObj>
          <w:docPartGallery w:val="Table of Contents"/>
          <w:docPartUnique/>
        </w:docPartObj>
      </w:sdtPr>
      <w:sdtEndPr>
        <w:rPr>
          <w:b/>
          <w:bCs/>
        </w:rPr>
      </w:sdtEndPr>
      <w:sdtContent>
        <w:p w:rsidR="00002E03" w:rsidRDefault="00002E03">
          <w:pPr>
            <w:pStyle w:val="En-ttedetabledesmatires"/>
          </w:pPr>
          <w:r>
            <w:rPr>
              <w:lang w:val="fr-FR"/>
            </w:rPr>
            <w:t>Table des matières</w:t>
          </w:r>
        </w:p>
        <w:p w:rsidR="00CA20B0" w:rsidRDefault="00002E03">
          <w:pPr>
            <w:pStyle w:val="TM1"/>
            <w:rPr>
              <w:rFonts w:eastAsiaTheme="minorEastAsia"/>
              <w:noProof/>
              <w:lang w:eastAsia="fr-CA"/>
            </w:rPr>
          </w:pPr>
          <w:r>
            <w:fldChar w:fldCharType="begin"/>
          </w:r>
          <w:r>
            <w:instrText xml:space="preserve"> TOC \o "1-3" \h \z \u </w:instrText>
          </w:r>
          <w:r>
            <w:fldChar w:fldCharType="separate"/>
          </w:r>
          <w:hyperlink w:anchor="_Toc451351235" w:history="1">
            <w:r w:rsidR="00CA20B0" w:rsidRPr="000818A4">
              <w:rPr>
                <w:rStyle w:val="Lienhypertexte"/>
                <w:b/>
                <w:noProof/>
              </w:rPr>
              <w:t>Pour débuter</w:t>
            </w:r>
            <w:r w:rsidR="00CA20B0">
              <w:rPr>
                <w:noProof/>
                <w:webHidden/>
              </w:rPr>
              <w:tab/>
            </w:r>
            <w:r w:rsidR="00CA20B0">
              <w:rPr>
                <w:noProof/>
                <w:webHidden/>
              </w:rPr>
              <w:fldChar w:fldCharType="begin"/>
            </w:r>
            <w:r w:rsidR="00CA20B0">
              <w:rPr>
                <w:noProof/>
                <w:webHidden/>
              </w:rPr>
              <w:instrText xml:space="preserve"> PAGEREF _Toc451351235 \h </w:instrText>
            </w:r>
            <w:r w:rsidR="00CA20B0">
              <w:rPr>
                <w:noProof/>
                <w:webHidden/>
              </w:rPr>
            </w:r>
            <w:r w:rsidR="00CA20B0">
              <w:rPr>
                <w:noProof/>
                <w:webHidden/>
              </w:rPr>
              <w:fldChar w:fldCharType="separate"/>
            </w:r>
            <w:r w:rsidR="007F5AFB">
              <w:rPr>
                <w:noProof/>
                <w:webHidden/>
              </w:rPr>
              <w:t>3</w:t>
            </w:r>
            <w:r w:rsidR="00CA20B0">
              <w:rPr>
                <w:noProof/>
                <w:webHidden/>
              </w:rPr>
              <w:fldChar w:fldCharType="end"/>
            </w:r>
          </w:hyperlink>
        </w:p>
        <w:p w:rsidR="00CA20B0" w:rsidRDefault="00BC2030">
          <w:pPr>
            <w:pStyle w:val="TM1"/>
            <w:rPr>
              <w:rFonts w:eastAsiaTheme="minorEastAsia"/>
              <w:noProof/>
              <w:lang w:eastAsia="fr-CA"/>
            </w:rPr>
          </w:pPr>
          <w:hyperlink w:anchor="_Toc451351236" w:history="1">
            <w:r w:rsidR="00CA20B0" w:rsidRPr="000818A4">
              <w:rPr>
                <w:rStyle w:val="Lienhypertexte"/>
                <w:b/>
                <w:noProof/>
              </w:rPr>
              <w:t>Section – Bienvenue dans ce cours</w:t>
            </w:r>
            <w:r w:rsidR="00CA20B0">
              <w:rPr>
                <w:noProof/>
                <w:webHidden/>
              </w:rPr>
              <w:tab/>
            </w:r>
            <w:r w:rsidR="00CA20B0">
              <w:rPr>
                <w:noProof/>
                <w:webHidden/>
              </w:rPr>
              <w:fldChar w:fldCharType="begin"/>
            </w:r>
            <w:r w:rsidR="00CA20B0">
              <w:rPr>
                <w:noProof/>
                <w:webHidden/>
              </w:rPr>
              <w:instrText xml:space="preserve"> PAGEREF _Toc451351236 \h </w:instrText>
            </w:r>
            <w:r w:rsidR="00CA20B0">
              <w:rPr>
                <w:noProof/>
                <w:webHidden/>
              </w:rPr>
            </w:r>
            <w:r w:rsidR="00CA20B0">
              <w:rPr>
                <w:noProof/>
                <w:webHidden/>
              </w:rPr>
              <w:fldChar w:fldCharType="separate"/>
            </w:r>
            <w:r w:rsidR="007F5AFB">
              <w:rPr>
                <w:noProof/>
                <w:webHidden/>
              </w:rPr>
              <w:t>3</w:t>
            </w:r>
            <w:r w:rsidR="00CA20B0">
              <w:rPr>
                <w:noProof/>
                <w:webHidden/>
              </w:rPr>
              <w:fldChar w:fldCharType="end"/>
            </w:r>
          </w:hyperlink>
        </w:p>
        <w:p w:rsidR="00CA20B0" w:rsidRDefault="00BC2030">
          <w:pPr>
            <w:pStyle w:val="TM1"/>
            <w:rPr>
              <w:rFonts w:eastAsiaTheme="minorEastAsia"/>
              <w:noProof/>
              <w:lang w:eastAsia="fr-CA"/>
            </w:rPr>
          </w:pPr>
          <w:hyperlink w:anchor="_Toc451351237" w:history="1">
            <w:r w:rsidR="00CA20B0" w:rsidRPr="000818A4">
              <w:rPr>
                <w:rStyle w:val="Lienhypertexte"/>
                <w:b/>
                <w:noProof/>
              </w:rPr>
              <w:t>Section – Qualité de la langue et plagiat</w:t>
            </w:r>
            <w:r w:rsidR="00CA20B0">
              <w:rPr>
                <w:noProof/>
                <w:webHidden/>
              </w:rPr>
              <w:tab/>
            </w:r>
            <w:r w:rsidR="00CA20B0">
              <w:rPr>
                <w:noProof/>
                <w:webHidden/>
              </w:rPr>
              <w:fldChar w:fldCharType="begin"/>
            </w:r>
            <w:r w:rsidR="00CA20B0">
              <w:rPr>
                <w:noProof/>
                <w:webHidden/>
              </w:rPr>
              <w:instrText xml:space="preserve"> PAGEREF _Toc451351237 \h </w:instrText>
            </w:r>
            <w:r w:rsidR="00CA20B0">
              <w:rPr>
                <w:noProof/>
                <w:webHidden/>
              </w:rPr>
            </w:r>
            <w:r w:rsidR="00CA20B0">
              <w:rPr>
                <w:noProof/>
                <w:webHidden/>
              </w:rPr>
              <w:fldChar w:fldCharType="separate"/>
            </w:r>
            <w:r w:rsidR="007F5AFB">
              <w:rPr>
                <w:noProof/>
                <w:webHidden/>
              </w:rPr>
              <w:t>4</w:t>
            </w:r>
            <w:r w:rsidR="00CA20B0">
              <w:rPr>
                <w:noProof/>
                <w:webHidden/>
              </w:rPr>
              <w:fldChar w:fldCharType="end"/>
            </w:r>
          </w:hyperlink>
        </w:p>
        <w:p w:rsidR="00CA20B0" w:rsidRDefault="00BC2030">
          <w:pPr>
            <w:pStyle w:val="TM1"/>
            <w:rPr>
              <w:rFonts w:eastAsiaTheme="minorEastAsia"/>
              <w:noProof/>
              <w:lang w:eastAsia="fr-CA"/>
            </w:rPr>
          </w:pPr>
          <w:hyperlink w:anchor="_Toc451351238" w:history="1">
            <w:r w:rsidR="00CA20B0" w:rsidRPr="000818A4">
              <w:rPr>
                <w:rStyle w:val="Lienhypertexte"/>
                <w:b/>
                <w:noProof/>
              </w:rPr>
              <w:t>Section – Corrigés</w:t>
            </w:r>
            <w:r w:rsidR="00CA20B0">
              <w:rPr>
                <w:noProof/>
                <w:webHidden/>
              </w:rPr>
              <w:tab/>
            </w:r>
            <w:r w:rsidR="00CA20B0">
              <w:rPr>
                <w:noProof/>
                <w:webHidden/>
              </w:rPr>
              <w:fldChar w:fldCharType="begin"/>
            </w:r>
            <w:r w:rsidR="00CA20B0">
              <w:rPr>
                <w:noProof/>
                <w:webHidden/>
              </w:rPr>
              <w:instrText xml:space="preserve"> PAGEREF _Toc451351238 \h </w:instrText>
            </w:r>
            <w:r w:rsidR="00CA20B0">
              <w:rPr>
                <w:noProof/>
                <w:webHidden/>
              </w:rPr>
            </w:r>
            <w:r w:rsidR="00CA20B0">
              <w:rPr>
                <w:noProof/>
                <w:webHidden/>
              </w:rPr>
              <w:fldChar w:fldCharType="separate"/>
            </w:r>
            <w:r w:rsidR="007F5AFB">
              <w:rPr>
                <w:noProof/>
                <w:webHidden/>
              </w:rPr>
              <w:t>4</w:t>
            </w:r>
            <w:r w:rsidR="00CA20B0">
              <w:rPr>
                <w:noProof/>
                <w:webHidden/>
              </w:rPr>
              <w:fldChar w:fldCharType="end"/>
            </w:r>
          </w:hyperlink>
        </w:p>
        <w:p w:rsidR="00CA20B0" w:rsidRDefault="00BC2030">
          <w:pPr>
            <w:pStyle w:val="TM1"/>
            <w:rPr>
              <w:rFonts w:eastAsiaTheme="minorEastAsia"/>
              <w:noProof/>
              <w:lang w:eastAsia="fr-CA"/>
            </w:rPr>
          </w:pPr>
          <w:hyperlink w:anchor="_Toc451351239" w:history="1">
            <w:r w:rsidR="00CA20B0" w:rsidRPr="000818A4">
              <w:rPr>
                <w:rStyle w:val="Lienhypertexte"/>
                <w:b/>
                <w:noProof/>
              </w:rPr>
              <w:t>Section – Devoirs</w:t>
            </w:r>
            <w:r w:rsidR="00CA20B0">
              <w:rPr>
                <w:noProof/>
                <w:webHidden/>
              </w:rPr>
              <w:tab/>
            </w:r>
            <w:r w:rsidR="00CA20B0">
              <w:rPr>
                <w:noProof/>
                <w:webHidden/>
              </w:rPr>
              <w:fldChar w:fldCharType="begin"/>
            </w:r>
            <w:r w:rsidR="00CA20B0">
              <w:rPr>
                <w:noProof/>
                <w:webHidden/>
              </w:rPr>
              <w:instrText xml:space="preserve"> PAGEREF _Toc451351239 \h </w:instrText>
            </w:r>
            <w:r w:rsidR="00CA20B0">
              <w:rPr>
                <w:noProof/>
                <w:webHidden/>
              </w:rPr>
            </w:r>
            <w:r w:rsidR="00CA20B0">
              <w:rPr>
                <w:noProof/>
                <w:webHidden/>
              </w:rPr>
              <w:fldChar w:fldCharType="separate"/>
            </w:r>
            <w:r w:rsidR="007F5AFB">
              <w:rPr>
                <w:noProof/>
                <w:webHidden/>
              </w:rPr>
              <w:t>5</w:t>
            </w:r>
            <w:r w:rsidR="00CA20B0">
              <w:rPr>
                <w:noProof/>
                <w:webHidden/>
              </w:rPr>
              <w:fldChar w:fldCharType="end"/>
            </w:r>
          </w:hyperlink>
        </w:p>
        <w:p w:rsidR="00CA20B0" w:rsidRDefault="00BC2030">
          <w:pPr>
            <w:pStyle w:val="TM1"/>
            <w:rPr>
              <w:rFonts w:eastAsiaTheme="minorEastAsia"/>
              <w:noProof/>
              <w:lang w:eastAsia="fr-CA"/>
            </w:rPr>
          </w:pPr>
          <w:hyperlink w:anchor="_Toc451351240" w:history="1">
            <w:r w:rsidR="00CA20B0" w:rsidRPr="000818A4">
              <w:rPr>
                <w:rStyle w:val="Lienhypertexte"/>
                <w:b/>
                <w:noProof/>
              </w:rPr>
              <w:t>Section – Évaluation finale</w:t>
            </w:r>
            <w:r w:rsidR="00CA20B0">
              <w:rPr>
                <w:noProof/>
                <w:webHidden/>
              </w:rPr>
              <w:tab/>
            </w:r>
            <w:r w:rsidR="00CA20B0">
              <w:rPr>
                <w:noProof/>
                <w:webHidden/>
              </w:rPr>
              <w:fldChar w:fldCharType="begin"/>
            </w:r>
            <w:r w:rsidR="00CA20B0">
              <w:rPr>
                <w:noProof/>
                <w:webHidden/>
              </w:rPr>
              <w:instrText xml:space="preserve"> PAGEREF _Toc451351240 \h </w:instrText>
            </w:r>
            <w:r w:rsidR="00CA20B0">
              <w:rPr>
                <w:noProof/>
                <w:webHidden/>
              </w:rPr>
            </w:r>
            <w:r w:rsidR="00CA20B0">
              <w:rPr>
                <w:noProof/>
                <w:webHidden/>
              </w:rPr>
              <w:fldChar w:fldCharType="separate"/>
            </w:r>
            <w:r w:rsidR="007F5AFB">
              <w:rPr>
                <w:noProof/>
                <w:webHidden/>
              </w:rPr>
              <w:t>6</w:t>
            </w:r>
            <w:r w:rsidR="00CA20B0">
              <w:rPr>
                <w:noProof/>
                <w:webHidden/>
              </w:rPr>
              <w:fldChar w:fldCharType="end"/>
            </w:r>
          </w:hyperlink>
        </w:p>
        <w:p w:rsidR="00CA20B0" w:rsidRDefault="00BC2030">
          <w:pPr>
            <w:pStyle w:val="TM1"/>
            <w:rPr>
              <w:rFonts w:eastAsiaTheme="minorEastAsia"/>
              <w:noProof/>
              <w:lang w:eastAsia="fr-CA"/>
            </w:rPr>
          </w:pPr>
          <w:hyperlink w:anchor="_Toc451351241" w:history="1">
            <w:r w:rsidR="00CA20B0" w:rsidRPr="000818A4">
              <w:rPr>
                <w:rStyle w:val="Lienhypertexte"/>
                <w:b/>
                <w:noProof/>
              </w:rPr>
              <w:t>Section – Ressources</w:t>
            </w:r>
            <w:r w:rsidR="00CA20B0">
              <w:rPr>
                <w:noProof/>
                <w:webHidden/>
              </w:rPr>
              <w:tab/>
            </w:r>
            <w:r w:rsidR="00CA20B0">
              <w:rPr>
                <w:noProof/>
                <w:webHidden/>
              </w:rPr>
              <w:fldChar w:fldCharType="begin"/>
            </w:r>
            <w:r w:rsidR="00CA20B0">
              <w:rPr>
                <w:noProof/>
                <w:webHidden/>
              </w:rPr>
              <w:instrText xml:space="preserve"> PAGEREF _Toc451351241 \h </w:instrText>
            </w:r>
            <w:r w:rsidR="00CA20B0">
              <w:rPr>
                <w:noProof/>
                <w:webHidden/>
              </w:rPr>
            </w:r>
            <w:r w:rsidR="00CA20B0">
              <w:rPr>
                <w:noProof/>
                <w:webHidden/>
              </w:rPr>
              <w:fldChar w:fldCharType="separate"/>
            </w:r>
            <w:r w:rsidR="007F5AFB">
              <w:rPr>
                <w:noProof/>
                <w:webHidden/>
              </w:rPr>
              <w:t>6</w:t>
            </w:r>
            <w:r w:rsidR="00CA20B0">
              <w:rPr>
                <w:noProof/>
                <w:webHidden/>
              </w:rPr>
              <w:fldChar w:fldCharType="end"/>
            </w:r>
          </w:hyperlink>
        </w:p>
        <w:p w:rsidR="00CA20B0" w:rsidRDefault="00BC2030">
          <w:pPr>
            <w:pStyle w:val="TM1"/>
            <w:rPr>
              <w:rFonts w:eastAsiaTheme="minorEastAsia"/>
              <w:noProof/>
              <w:lang w:eastAsia="fr-CA"/>
            </w:rPr>
          </w:pPr>
          <w:hyperlink w:anchor="_Toc451351242" w:history="1">
            <w:r w:rsidR="00CA20B0" w:rsidRPr="000818A4">
              <w:rPr>
                <w:rStyle w:val="Lienhypertexte"/>
                <w:b/>
                <w:noProof/>
              </w:rPr>
              <w:t>Section – Réalisation</w:t>
            </w:r>
            <w:r w:rsidR="00CA20B0">
              <w:rPr>
                <w:noProof/>
                <w:webHidden/>
              </w:rPr>
              <w:tab/>
            </w:r>
            <w:r w:rsidR="00CA20B0">
              <w:rPr>
                <w:noProof/>
                <w:webHidden/>
              </w:rPr>
              <w:fldChar w:fldCharType="begin"/>
            </w:r>
            <w:r w:rsidR="00CA20B0">
              <w:rPr>
                <w:noProof/>
                <w:webHidden/>
              </w:rPr>
              <w:instrText xml:space="preserve"> PAGEREF _Toc451351242 \h </w:instrText>
            </w:r>
            <w:r w:rsidR="00CA20B0">
              <w:rPr>
                <w:noProof/>
                <w:webHidden/>
              </w:rPr>
            </w:r>
            <w:r w:rsidR="00CA20B0">
              <w:rPr>
                <w:noProof/>
                <w:webHidden/>
              </w:rPr>
              <w:fldChar w:fldCharType="separate"/>
            </w:r>
            <w:r w:rsidR="007F5AFB">
              <w:rPr>
                <w:noProof/>
                <w:webHidden/>
              </w:rPr>
              <w:t>7</w:t>
            </w:r>
            <w:r w:rsidR="00CA20B0">
              <w:rPr>
                <w:noProof/>
                <w:webHidden/>
              </w:rPr>
              <w:fldChar w:fldCharType="end"/>
            </w:r>
          </w:hyperlink>
        </w:p>
        <w:p w:rsidR="00CA20B0" w:rsidRDefault="00BC2030">
          <w:pPr>
            <w:pStyle w:val="TM1"/>
            <w:rPr>
              <w:rFonts w:eastAsiaTheme="minorEastAsia"/>
              <w:noProof/>
              <w:lang w:eastAsia="fr-CA"/>
            </w:rPr>
          </w:pPr>
          <w:hyperlink w:anchor="_Toc451351243" w:history="1">
            <w:r w:rsidR="00CA20B0" w:rsidRPr="000818A4">
              <w:rPr>
                <w:rStyle w:val="Lienhypertexte"/>
                <w:b/>
                <w:noProof/>
              </w:rPr>
              <w:t>Section – Contenu du cours</w:t>
            </w:r>
            <w:r w:rsidR="00CA20B0">
              <w:rPr>
                <w:noProof/>
                <w:webHidden/>
              </w:rPr>
              <w:tab/>
            </w:r>
            <w:r w:rsidR="00CA20B0">
              <w:rPr>
                <w:noProof/>
                <w:webHidden/>
              </w:rPr>
              <w:fldChar w:fldCharType="begin"/>
            </w:r>
            <w:r w:rsidR="00CA20B0">
              <w:rPr>
                <w:noProof/>
                <w:webHidden/>
              </w:rPr>
              <w:instrText xml:space="preserve"> PAGEREF _Toc451351243 \h </w:instrText>
            </w:r>
            <w:r w:rsidR="00CA20B0">
              <w:rPr>
                <w:noProof/>
                <w:webHidden/>
              </w:rPr>
            </w:r>
            <w:r w:rsidR="00CA20B0">
              <w:rPr>
                <w:noProof/>
                <w:webHidden/>
              </w:rPr>
              <w:fldChar w:fldCharType="separate"/>
            </w:r>
            <w:r w:rsidR="007F5AFB">
              <w:rPr>
                <w:noProof/>
                <w:webHidden/>
              </w:rPr>
              <w:t>7</w:t>
            </w:r>
            <w:r w:rsidR="00CA20B0">
              <w:rPr>
                <w:noProof/>
                <w:webHidden/>
              </w:rPr>
              <w:fldChar w:fldCharType="end"/>
            </w:r>
          </w:hyperlink>
        </w:p>
        <w:p w:rsidR="00CA20B0" w:rsidRDefault="00BC2030">
          <w:pPr>
            <w:pStyle w:val="TM1"/>
            <w:rPr>
              <w:rFonts w:eastAsiaTheme="minorEastAsia"/>
              <w:noProof/>
              <w:lang w:eastAsia="fr-CA"/>
            </w:rPr>
          </w:pPr>
          <w:hyperlink w:anchor="_Toc451351244" w:history="1">
            <w:r w:rsidR="00CA20B0" w:rsidRPr="000818A4">
              <w:rPr>
                <w:rStyle w:val="Lienhypertexte"/>
                <w:b/>
                <w:noProof/>
              </w:rPr>
              <w:t>Carnet de notes</w:t>
            </w:r>
            <w:r w:rsidR="00CA20B0">
              <w:rPr>
                <w:noProof/>
                <w:webHidden/>
              </w:rPr>
              <w:tab/>
            </w:r>
            <w:r w:rsidR="00CA20B0">
              <w:rPr>
                <w:noProof/>
                <w:webHidden/>
              </w:rPr>
              <w:fldChar w:fldCharType="begin"/>
            </w:r>
            <w:r w:rsidR="00CA20B0">
              <w:rPr>
                <w:noProof/>
                <w:webHidden/>
              </w:rPr>
              <w:instrText xml:space="preserve"> PAGEREF _Toc451351244 \h </w:instrText>
            </w:r>
            <w:r w:rsidR="00CA20B0">
              <w:rPr>
                <w:noProof/>
                <w:webHidden/>
              </w:rPr>
            </w:r>
            <w:r w:rsidR="00CA20B0">
              <w:rPr>
                <w:noProof/>
                <w:webHidden/>
              </w:rPr>
              <w:fldChar w:fldCharType="separate"/>
            </w:r>
            <w:r w:rsidR="007F5AFB">
              <w:rPr>
                <w:noProof/>
                <w:webHidden/>
              </w:rPr>
              <w:t>8</w:t>
            </w:r>
            <w:r w:rsidR="00CA20B0">
              <w:rPr>
                <w:noProof/>
                <w:webHidden/>
              </w:rPr>
              <w:fldChar w:fldCharType="end"/>
            </w:r>
          </w:hyperlink>
        </w:p>
        <w:p w:rsidR="00CA20B0" w:rsidRDefault="00BC2030">
          <w:pPr>
            <w:pStyle w:val="TM1"/>
            <w:rPr>
              <w:rFonts w:eastAsiaTheme="minorEastAsia"/>
              <w:noProof/>
              <w:lang w:eastAsia="fr-CA"/>
            </w:rPr>
          </w:pPr>
          <w:hyperlink w:anchor="_Toc451351245" w:history="1">
            <w:r w:rsidR="00CA20B0" w:rsidRPr="000818A4">
              <w:rPr>
                <w:rStyle w:val="Lienhypertexte"/>
                <w:b/>
                <w:noProof/>
              </w:rPr>
              <w:t>Liste de vérification</w:t>
            </w:r>
            <w:r w:rsidR="00CA20B0">
              <w:rPr>
                <w:noProof/>
                <w:webHidden/>
              </w:rPr>
              <w:tab/>
            </w:r>
            <w:r w:rsidR="00CA20B0">
              <w:rPr>
                <w:noProof/>
                <w:webHidden/>
              </w:rPr>
              <w:fldChar w:fldCharType="begin"/>
            </w:r>
            <w:r w:rsidR="00CA20B0">
              <w:rPr>
                <w:noProof/>
                <w:webHidden/>
              </w:rPr>
              <w:instrText xml:space="preserve"> PAGEREF _Toc451351245 \h </w:instrText>
            </w:r>
            <w:r w:rsidR="00CA20B0">
              <w:rPr>
                <w:noProof/>
                <w:webHidden/>
              </w:rPr>
            </w:r>
            <w:r w:rsidR="00CA20B0">
              <w:rPr>
                <w:noProof/>
                <w:webHidden/>
              </w:rPr>
              <w:fldChar w:fldCharType="separate"/>
            </w:r>
            <w:r w:rsidR="007F5AFB">
              <w:rPr>
                <w:noProof/>
                <w:webHidden/>
              </w:rPr>
              <w:t>9</w:t>
            </w:r>
            <w:r w:rsidR="00CA20B0">
              <w:rPr>
                <w:noProof/>
                <w:webHidden/>
              </w:rPr>
              <w:fldChar w:fldCharType="end"/>
            </w:r>
          </w:hyperlink>
        </w:p>
        <w:p w:rsidR="00002E03" w:rsidRDefault="00002E03">
          <w:r>
            <w:rPr>
              <w:b/>
              <w:bCs/>
              <w:lang w:val="fr-FR"/>
            </w:rPr>
            <w:fldChar w:fldCharType="end"/>
          </w:r>
        </w:p>
      </w:sdtContent>
    </w:sdt>
    <w:p w:rsidR="00002E03" w:rsidRDefault="00002E03">
      <w:pPr>
        <w:spacing w:after="160" w:line="259" w:lineRule="auto"/>
        <w:ind w:left="0" w:firstLine="0"/>
      </w:pPr>
      <w:r>
        <w:br w:type="page"/>
      </w:r>
    </w:p>
    <w:p w:rsidR="00102CA7" w:rsidRDefault="00124C80" w:rsidP="00C220F0">
      <w:pPr>
        <w:pStyle w:val="Titre1"/>
        <w:rPr>
          <w:b/>
        </w:rPr>
      </w:pPr>
      <w:bookmarkStart w:id="0" w:name="_Toc451351235"/>
      <w:r>
        <w:rPr>
          <w:b/>
        </w:rPr>
        <w:lastRenderedPageBreak/>
        <w:t>Pour débuter</w:t>
      </w:r>
      <w:bookmarkEnd w:id="0"/>
    </w:p>
    <w:p w:rsidR="00124C80" w:rsidRDefault="00124C80" w:rsidP="00124C80">
      <w:pPr>
        <w:ind w:left="0" w:firstLine="0"/>
      </w:pPr>
      <w:r>
        <w:t>Ce document présente les différents points à valider sous forme de liste lors d’une assurance qualité effectuée sur un cours destiné à l’environnement d’apprentissage Moodle du Cégep à distance.</w:t>
      </w:r>
    </w:p>
    <w:p w:rsidR="00124C80" w:rsidRDefault="00124C80" w:rsidP="00124C80">
      <w:pPr>
        <w:ind w:left="0" w:firstLine="0"/>
      </w:pPr>
      <w:r>
        <w:t>Pour connaître le fonctionnement précis des différentes sections, comment les créer ou les modifier, référe</w:t>
      </w:r>
      <w:r w:rsidR="00CA20B0">
        <w:t>z-vous</w:t>
      </w:r>
      <w:r>
        <w:t xml:space="preserve"> aux autres procéduriers conçus à cet effet.</w:t>
      </w:r>
    </w:p>
    <w:p w:rsidR="0061031F" w:rsidRDefault="00B639B8" w:rsidP="00124C80">
      <w:pPr>
        <w:ind w:left="0" w:firstLine="0"/>
      </w:pPr>
      <w:r>
        <w:t xml:space="preserve">Aussi, l’assurance qualité devrait mettre le focus sur le cours et son contenu et non sur l’environnement Moodle (ce qui inclus design, orthographe, menus, accessibilité web, </w:t>
      </w:r>
      <w:r w:rsidR="004E654F">
        <w:t>etc.</w:t>
      </w:r>
      <w:r>
        <w:t xml:space="preserve">).  </w:t>
      </w:r>
    </w:p>
    <w:p w:rsidR="00B639B8" w:rsidRDefault="00B639B8" w:rsidP="00124C80">
      <w:pPr>
        <w:ind w:left="0" w:firstLine="0"/>
      </w:pPr>
    </w:p>
    <w:p w:rsidR="001964D4" w:rsidRDefault="001964D4" w:rsidP="001964D4">
      <w:pPr>
        <w:pStyle w:val="Titre1"/>
        <w:rPr>
          <w:b/>
        </w:rPr>
      </w:pPr>
      <w:bookmarkStart w:id="1" w:name="_Toc451351236"/>
      <w:r w:rsidRPr="001964D4">
        <w:rPr>
          <w:b/>
        </w:rPr>
        <w:t xml:space="preserve">Section </w:t>
      </w:r>
      <w:r w:rsidR="00BE351D">
        <w:rPr>
          <w:b/>
        </w:rPr>
        <w:t xml:space="preserve">– </w:t>
      </w:r>
      <w:r w:rsidRPr="001964D4">
        <w:rPr>
          <w:b/>
        </w:rPr>
        <w:t>Bienvenue dans ce cours</w:t>
      </w:r>
      <w:bookmarkEnd w:id="1"/>
    </w:p>
    <w:p w:rsidR="001964D4" w:rsidRDefault="001964D4" w:rsidP="001964D4">
      <w:r>
        <w:rPr>
          <w:noProof/>
          <w:lang w:eastAsia="fr-CA"/>
        </w:rPr>
        <w:drawing>
          <wp:inline distT="0" distB="0" distL="0" distR="0">
            <wp:extent cx="5368925" cy="1713865"/>
            <wp:effectExtent l="0" t="0" r="317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envenue.PNG"/>
                    <pic:cNvPicPr/>
                  </pic:nvPicPr>
                  <pic:blipFill>
                    <a:blip r:embed="rId8">
                      <a:extLst>
                        <a:ext uri="{28A0092B-C50C-407E-A947-70E740481C1C}">
                          <a14:useLocalDpi xmlns:a14="http://schemas.microsoft.com/office/drawing/2010/main" val="0"/>
                        </a:ext>
                      </a:extLst>
                    </a:blip>
                    <a:stretch>
                      <a:fillRect/>
                    </a:stretch>
                  </pic:blipFill>
                  <pic:spPr>
                    <a:xfrm>
                      <a:off x="0" y="0"/>
                      <a:ext cx="5368925" cy="1713865"/>
                    </a:xfrm>
                    <a:prstGeom prst="rect">
                      <a:avLst/>
                    </a:prstGeom>
                  </pic:spPr>
                </pic:pic>
              </a:graphicData>
            </a:graphic>
          </wp:inline>
        </w:drawing>
      </w:r>
    </w:p>
    <w:p w:rsidR="001964D4" w:rsidRDefault="001964D4" w:rsidP="001964D4">
      <w:pPr>
        <w:ind w:left="0" w:firstLine="0"/>
      </w:pPr>
      <w:r>
        <w:t xml:space="preserve">Le texte </w:t>
      </w:r>
      <w:r w:rsidR="00BE351D">
        <w:t>de cette section est révisé et fait partie du gabarit.  Il faut seulement s’assurer que le babillard ne contient aucune discussion :</w:t>
      </w:r>
    </w:p>
    <w:p w:rsidR="00BE351D" w:rsidRDefault="00BE351D" w:rsidP="001964D4">
      <w:pPr>
        <w:ind w:left="0" w:firstLine="0"/>
      </w:pPr>
      <w:r>
        <w:rPr>
          <w:noProof/>
          <w:lang w:eastAsia="fr-CA"/>
        </w:rPr>
        <w:drawing>
          <wp:inline distT="0" distB="0" distL="0" distR="0">
            <wp:extent cx="3983604" cy="1331481"/>
            <wp:effectExtent l="0" t="0" r="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billard.PNG"/>
                    <pic:cNvPicPr/>
                  </pic:nvPicPr>
                  <pic:blipFill>
                    <a:blip r:embed="rId9">
                      <a:extLst>
                        <a:ext uri="{28A0092B-C50C-407E-A947-70E740481C1C}">
                          <a14:useLocalDpi xmlns:a14="http://schemas.microsoft.com/office/drawing/2010/main" val="0"/>
                        </a:ext>
                      </a:extLst>
                    </a:blip>
                    <a:stretch>
                      <a:fillRect/>
                    </a:stretch>
                  </pic:blipFill>
                  <pic:spPr>
                    <a:xfrm>
                      <a:off x="0" y="0"/>
                      <a:ext cx="4189459" cy="1400286"/>
                    </a:xfrm>
                    <a:prstGeom prst="rect">
                      <a:avLst/>
                    </a:prstGeom>
                  </pic:spPr>
                </pic:pic>
              </a:graphicData>
            </a:graphic>
          </wp:inline>
        </w:drawing>
      </w:r>
    </w:p>
    <w:p w:rsidR="0067540E" w:rsidRDefault="0067540E">
      <w:pPr>
        <w:spacing w:after="160" w:line="259" w:lineRule="auto"/>
        <w:ind w:left="0" w:firstLine="0"/>
        <w:rPr>
          <w:rFonts w:asciiTheme="majorHAnsi" w:eastAsiaTheme="majorEastAsia" w:hAnsiTheme="majorHAnsi" w:cstheme="majorBidi"/>
          <w:b/>
          <w:color w:val="2E74B5" w:themeColor="accent1" w:themeShade="BF"/>
          <w:sz w:val="32"/>
          <w:szCs w:val="32"/>
        </w:rPr>
      </w:pPr>
      <w:r>
        <w:rPr>
          <w:b/>
        </w:rPr>
        <w:br w:type="page"/>
      </w:r>
    </w:p>
    <w:p w:rsidR="00BE351D" w:rsidRDefault="00BE351D" w:rsidP="00BE351D">
      <w:pPr>
        <w:pStyle w:val="Titre1"/>
        <w:rPr>
          <w:b/>
        </w:rPr>
      </w:pPr>
      <w:bookmarkStart w:id="2" w:name="_Toc451351237"/>
      <w:r>
        <w:rPr>
          <w:b/>
        </w:rPr>
        <w:lastRenderedPageBreak/>
        <w:t>Section – Qualité de la langue et plagiat</w:t>
      </w:r>
      <w:bookmarkEnd w:id="2"/>
    </w:p>
    <w:p w:rsidR="00BE351D" w:rsidRDefault="0067540E" w:rsidP="00BE351D">
      <w:r>
        <w:rPr>
          <w:noProof/>
          <w:lang w:eastAsia="fr-CA"/>
        </w:rPr>
        <w:drawing>
          <wp:inline distT="0" distB="0" distL="0" distR="0">
            <wp:extent cx="5368925" cy="1434465"/>
            <wp:effectExtent l="0" t="0" r="317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alite.PNG"/>
                    <pic:cNvPicPr/>
                  </pic:nvPicPr>
                  <pic:blipFill>
                    <a:blip r:embed="rId10">
                      <a:extLst>
                        <a:ext uri="{28A0092B-C50C-407E-A947-70E740481C1C}">
                          <a14:useLocalDpi xmlns:a14="http://schemas.microsoft.com/office/drawing/2010/main" val="0"/>
                        </a:ext>
                      </a:extLst>
                    </a:blip>
                    <a:stretch>
                      <a:fillRect/>
                    </a:stretch>
                  </pic:blipFill>
                  <pic:spPr>
                    <a:xfrm>
                      <a:off x="0" y="0"/>
                      <a:ext cx="5368925" cy="1434465"/>
                    </a:xfrm>
                    <a:prstGeom prst="rect">
                      <a:avLst/>
                    </a:prstGeom>
                  </pic:spPr>
                </pic:pic>
              </a:graphicData>
            </a:graphic>
          </wp:inline>
        </w:drawing>
      </w:r>
    </w:p>
    <w:p w:rsidR="0067540E" w:rsidRDefault="0067540E" w:rsidP="0067540E">
      <w:pPr>
        <w:ind w:left="0" w:firstLine="0"/>
      </w:pPr>
      <w:r>
        <w:t xml:space="preserve">Le texte de cette section et celui contenu dans les 2 liens sont révisés et font partie du gabarit.  Il faut seulement s’assurer que le lien </w:t>
      </w:r>
      <w:r w:rsidRPr="0067540E">
        <w:rPr>
          <w:i/>
        </w:rPr>
        <w:t>Qualité de la langue</w:t>
      </w:r>
      <w:r>
        <w:t xml:space="preserve"> ne soit pas présent pour les cours de langue seconde.</w:t>
      </w:r>
    </w:p>
    <w:p w:rsidR="0067540E" w:rsidRPr="00BE351D" w:rsidRDefault="0067540E" w:rsidP="0067540E">
      <w:pPr>
        <w:ind w:left="0" w:firstLine="0"/>
      </w:pPr>
    </w:p>
    <w:p w:rsidR="00674BB3" w:rsidRDefault="0067540E" w:rsidP="00674BB3">
      <w:pPr>
        <w:pStyle w:val="Titre1"/>
        <w:ind w:left="0" w:firstLine="0"/>
        <w:rPr>
          <w:b/>
        </w:rPr>
      </w:pPr>
      <w:bookmarkStart w:id="3" w:name="_Toc451351238"/>
      <w:r w:rsidRPr="00674BB3">
        <w:rPr>
          <w:b/>
        </w:rPr>
        <w:t>Section – Corrigés</w:t>
      </w:r>
      <w:bookmarkEnd w:id="3"/>
    </w:p>
    <w:p w:rsidR="00AF6C8F" w:rsidRPr="00AF6C8F" w:rsidRDefault="00AF6C8F" w:rsidP="00AF6C8F">
      <w:r>
        <w:rPr>
          <w:noProof/>
          <w:lang w:eastAsia="fr-CA"/>
        </w:rPr>
        <w:drawing>
          <wp:inline distT="0" distB="0" distL="0" distR="0">
            <wp:extent cx="4469588" cy="2682810"/>
            <wp:effectExtent l="0" t="0" r="7620"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rriges.PNG"/>
                    <pic:cNvPicPr/>
                  </pic:nvPicPr>
                  <pic:blipFill>
                    <a:blip r:embed="rId11">
                      <a:extLst>
                        <a:ext uri="{28A0092B-C50C-407E-A947-70E740481C1C}">
                          <a14:useLocalDpi xmlns:a14="http://schemas.microsoft.com/office/drawing/2010/main" val="0"/>
                        </a:ext>
                      </a:extLst>
                    </a:blip>
                    <a:stretch>
                      <a:fillRect/>
                    </a:stretch>
                  </pic:blipFill>
                  <pic:spPr>
                    <a:xfrm>
                      <a:off x="0" y="0"/>
                      <a:ext cx="4500136" cy="2701146"/>
                    </a:xfrm>
                    <a:prstGeom prst="rect">
                      <a:avLst/>
                    </a:prstGeom>
                  </pic:spPr>
                </pic:pic>
              </a:graphicData>
            </a:graphic>
          </wp:inline>
        </w:drawing>
      </w:r>
    </w:p>
    <w:p w:rsidR="00674BB3" w:rsidRPr="00674BB3" w:rsidRDefault="00674BB3" w:rsidP="00674BB3">
      <w:pPr>
        <w:ind w:left="0" w:firstLine="0"/>
      </w:pPr>
      <w:r>
        <w:t>Le texte de cette section est révisé et fait partie du gabarit.  Il suffit de s’assurer que les noms des fichiers et répertoires reflètes les séries d’évaluations de la Fiche signalétique et qu’ils sont tous présents.</w:t>
      </w:r>
      <w:r w:rsidR="00C82C73">
        <w:br/>
      </w:r>
      <w:r>
        <w:br/>
        <w:t>Pour s’assurer que la section est invisible aux étudiants </w:t>
      </w:r>
      <w:r w:rsidRPr="00674BB3">
        <w:rPr>
          <w:b/>
        </w:rPr>
        <w:t>: Menu &gt; Prendre le rôle</w:t>
      </w:r>
      <w:r>
        <w:rPr>
          <w:b/>
        </w:rPr>
        <w:t>…</w:t>
      </w:r>
      <w:r w:rsidRPr="00674BB3">
        <w:rPr>
          <w:b/>
        </w:rPr>
        <w:t xml:space="preserve"> &gt; Étudiant</w:t>
      </w:r>
      <w:r>
        <w:br/>
      </w:r>
      <w:r>
        <w:rPr>
          <w:noProof/>
          <w:lang w:eastAsia="fr-CA"/>
        </w:rPr>
        <w:drawing>
          <wp:inline distT="0" distB="0" distL="0" distR="0">
            <wp:extent cx="1082650" cy="1403613"/>
            <wp:effectExtent l="0" t="0" r="381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enuRole.PNG"/>
                    <pic:cNvPicPr/>
                  </pic:nvPicPr>
                  <pic:blipFill>
                    <a:blip r:embed="rId12">
                      <a:extLst>
                        <a:ext uri="{28A0092B-C50C-407E-A947-70E740481C1C}">
                          <a14:useLocalDpi xmlns:a14="http://schemas.microsoft.com/office/drawing/2010/main" val="0"/>
                        </a:ext>
                      </a:extLst>
                    </a:blip>
                    <a:stretch>
                      <a:fillRect/>
                    </a:stretch>
                  </pic:blipFill>
                  <pic:spPr>
                    <a:xfrm>
                      <a:off x="0" y="0"/>
                      <a:ext cx="1092153" cy="1415934"/>
                    </a:xfrm>
                    <a:prstGeom prst="rect">
                      <a:avLst/>
                    </a:prstGeom>
                  </pic:spPr>
                </pic:pic>
              </a:graphicData>
            </a:graphic>
          </wp:inline>
        </w:drawing>
      </w:r>
    </w:p>
    <w:p w:rsidR="00C82C73" w:rsidRPr="00C82C73" w:rsidRDefault="00C82C73" w:rsidP="00C82C73">
      <w:pPr>
        <w:spacing w:after="160" w:line="259" w:lineRule="auto"/>
        <w:ind w:left="0" w:firstLine="0"/>
      </w:pPr>
    </w:p>
    <w:p w:rsidR="00C82C73" w:rsidRDefault="00C82C73" w:rsidP="00C82C73">
      <w:pPr>
        <w:pStyle w:val="Titre1"/>
        <w:rPr>
          <w:b/>
        </w:rPr>
      </w:pPr>
      <w:bookmarkStart w:id="4" w:name="_Toc451351239"/>
      <w:r w:rsidRPr="00C82C73">
        <w:rPr>
          <w:b/>
        </w:rPr>
        <w:lastRenderedPageBreak/>
        <w:t>Section – Devoirs</w:t>
      </w:r>
      <w:bookmarkEnd w:id="4"/>
    </w:p>
    <w:p w:rsidR="00AF6C8F" w:rsidRPr="00AF6C8F" w:rsidRDefault="00AF6C8F" w:rsidP="00AF6C8F">
      <w:pPr>
        <w:ind w:left="-1418" w:right="-1326" w:firstLine="0"/>
      </w:pPr>
      <w:r>
        <w:rPr>
          <w:noProof/>
          <w:lang w:eastAsia="fr-CA"/>
        </w:rPr>
        <w:drawing>
          <wp:anchor distT="0" distB="0" distL="114300" distR="114300" simplePos="0" relativeHeight="251658240" behindDoc="0" locked="0" layoutInCell="1" allowOverlap="1">
            <wp:simplePos x="0" y="0"/>
            <wp:positionH relativeFrom="column">
              <wp:posOffset>-902030</wp:posOffset>
            </wp:positionH>
            <wp:positionV relativeFrom="paragraph">
              <wp:posOffset>178</wp:posOffset>
            </wp:positionV>
            <wp:extent cx="3502136" cy="2026310"/>
            <wp:effectExtent l="0" t="0" r="3175" b="0"/>
            <wp:wrapThrough wrapText="bothSides">
              <wp:wrapPolygon edited="0">
                <wp:start x="0" y="0"/>
                <wp:lineTo x="0" y="21322"/>
                <wp:lineTo x="21502" y="21322"/>
                <wp:lineTo x="21502"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voirOut.PNG"/>
                    <pic:cNvPicPr/>
                  </pic:nvPicPr>
                  <pic:blipFill>
                    <a:blip r:embed="rId13">
                      <a:extLst>
                        <a:ext uri="{28A0092B-C50C-407E-A947-70E740481C1C}">
                          <a14:useLocalDpi xmlns:a14="http://schemas.microsoft.com/office/drawing/2010/main" val="0"/>
                        </a:ext>
                      </a:extLst>
                    </a:blip>
                    <a:stretch>
                      <a:fillRect/>
                    </a:stretch>
                  </pic:blipFill>
                  <pic:spPr>
                    <a:xfrm>
                      <a:off x="0" y="0"/>
                      <a:ext cx="3502136" cy="2026310"/>
                    </a:xfrm>
                    <a:prstGeom prst="rect">
                      <a:avLst/>
                    </a:prstGeom>
                  </pic:spPr>
                </pic:pic>
              </a:graphicData>
            </a:graphic>
          </wp:anchor>
        </w:drawing>
      </w:r>
      <w:r>
        <w:rPr>
          <w:noProof/>
          <w:lang w:eastAsia="fr-CA"/>
        </w:rPr>
        <w:drawing>
          <wp:inline distT="0" distB="0" distL="0" distR="0" wp14:anchorId="78CD4E58" wp14:editId="77438246">
            <wp:extent cx="3435985" cy="112649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evoirIn.PNG"/>
                    <pic:cNvPicPr/>
                  </pic:nvPicPr>
                  <pic:blipFill>
                    <a:blip r:embed="rId14">
                      <a:extLst>
                        <a:ext uri="{28A0092B-C50C-407E-A947-70E740481C1C}">
                          <a14:useLocalDpi xmlns:a14="http://schemas.microsoft.com/office/drawing/2010/main" val="0"/>
                        </a:ext>
                      </a:extLst>
                    </a:blip>
                    <a:stretch>
                      <a:fillRect/>
                    </a:stretch>
                  </pic:blipFill>
                  <pic:spPr>
                    <a:xfrm>
                      <a:off x="0" y="0"/>
                      <a:ext cx="3435985" cy="1126490"/>
                    </a:xfrm>
                    <a:prstGeom prst="rect">
                      <a:avLst/>
                    </a:prstGeom>
                  </pic:spPr>
                </pic:pic>
              </a:graphicData>
            </a:graphic>
          </wp:inline>
        </w:drawing>
      </w:r>
    </w:p>
    <w:p w:rsidR="00C82C73" w:rsidRDefault="005678D0" w:rsidP="00C82C73">
      <w:pPr>
        <w:spacing w:after="160" w:line="259" w:lineRule="auto"/>
        <w:ind w:left="0" w:firstLine="0"/>
        <w:rPr>
          <w:b/>
        </w:rPr>
      </w:pPr>
      <w:r>
        <w:rPr>
          <w:b/>
        </w:rPr>
        <w:t>OU</w:t>
      </w:r>
    </w:p>
    <w:p w:rsidR="000448C4" w:rsidRDefault="000448C4">
      <w:pPr>
        <w:spacing w:after="160" w:line="259" w:lineRule="auto"/>
        <w:ind w:left="0" w:firstLine="0"/>
        <w:rPr>
          <w:b/>
        </w:rPr>
      </w:pPr>
    </w:p>
    <w:p w:rsidR="000448C4" w:rsidRDefault="000448C4">
      <w:pPr>
        <w:spacing w:after="160" w:line="259" w:lineRule="auto"/>
        <w:ind w:left="0" w:firstLine="0"/>
        <w:rPr>
          <w:b/>
        </w:rPr>
      </w:pPr>
    </w:p>
    <w:p w:rsidR="000448C4" w:rsidRDefault="000448C4">
      <w:pPr>
        <w:spacing w:after="160" w:line="259" w:lineRule="auto"/>
        <w:ind w:left="0" w:firstLine="0"/>
      </w:pPr>
      <w:r>
        <w:t>Selon le type de cours, les devoirs seront centralisés dans une seule section (première image) ou bien introduit à l’intérieur du contenu de cours (deuxième image).</w:t>
      </w:r>
    </w:p>
    <w:p w:rsidR="000448C4" w:rsidRDefault="000448C4">
      <w:pPr>
        <w:spacing w:after="160" w:line="259" w:lineRule="auto"/>
        <w:ind w:left="0" w:firstLine="0"/>
      </w:pPr>
      <w:r>
        <w:t>Pour un devoir en ligne, il doit y avoir 2 restrictions :</w:t>
      </w:r>
      <w:r>
        <w:br/>
        <w:t>1) l’étudiant ne peut accéder à son devoir avant d’avoir reçu une note à son devoir précédent (</w:t>
      </w:r>
      <w:r w:rsidRPr="000448C4">
        <w:rPr>
          <w:i/>
          <w:sz w:val="20"/>
          <w:szCs w:val="20"/>
        </w:rPr>
        <w:t>vous aurez reçu la note du Devoir 2C</w:t>
      </w:r>
      <w:r>
        <w:t xml:space="preserve">). </w:t>
      </w:r>
      <w:r>
        <w:br/>
        <w:t xml:space="preserve">2) l’étudiant n’a accès qu’aux devoirs de la série qui lui est assignée </w:t>
      </w:r>
      <w:r>
        <w:br/>
        <w:t>(</w:t>
      </w:r>
      <w:r w:rsidRPr="000448C4">
        <w:rPr>
          <w:i/>
          <w:sz w:val="20"/>
          <w:szCs w:val="20"/>
        </w:rPr>
        <w:t>access to series (caché sinon)</w:t>
      </w:r>
      <w:r>
        <w:t>).</w:t>
      </w:r>
    </w:p>
    <w:p w:rsidR="00E77939" w:rsidRDefault="000448C4">
      <w:pPr>
        <w:spacing w:after="160" w:line="259" w:lineRule="auto"/>
        <w:ind w:left="0" w:firstLine="0"/>
      </w:pPr>
      <w:r>
        <w:t>Pour un devoir en présentiel, seul la restriction concernant la série de devoirs est nécessaire.</w:t>
      </w:r>
    </w:p>
    <w:p w:rsidR="00E77939" w:rsidRDefault="00E77939">
      <w:pPr>
        <w:spacing w:after="160" w:line="259" w:lineRule="auto"/>
        <w:ind w:left="0" w:firstLine="0"/>
      </w:pPr>
    </w:p>
    <w:p w:rsidR="00E77939" w:rsidRPr="00E77939" w:rsidRDefault="00E77939">
      <w:pPr>
        <w:spacing w:after="160" w:line="259" w:lineRule="auto"/>
        <w:ind w:left="0" w:firstLine="0"/>
        <w:rPr>
          <w:b/>
        </w:rPr>
      </w:pPr>
      <w:r w:rsidRPr="00E77939">
        <w:rPr>
          <w:b/>
          <w:noProof/>
          <w:lang w:eastAsia="fr-CA"/>
        </w:rPr>
        <w:drawing>
          <wp:anchor distT="0" distB="0" distL="114300" distR="114300" simplePos="0" relativeHeight="251659264" behindDoc="1" locked="0" layoutInCell="1" allowOverlap="1" wp14:anchorId="08A3D8C1" wp14:editId="10BF1306">
            <wp:simplePos x="0" y="0"/>
            <wp:positionH relativeFrom="margin">
              <wp:align>right</wp:align>
            </wp:positionH>
            <wp:positionV relativeFrom="paragraph">
              <wp:posOffset>8586</wp:posOffset>
            </wp:positionV>
            <wp:extent cx="2675255" cy="1788795"/>
            <wp:effectExtent l="0" t="0" r="0" b="1905"/>
            <wp:wrapTight wrapText="bothSides">
              <wp:wrapPolygon edited="0">
                <wp:start x="0" y="0"/>
                <wp:lineTo x="0" y="21393"/>
                <wp:lineTo x="21380" y="21393"/>
                <wp:lineTo x="2138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on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5255" cy="1788795"/>
                    </a:xfrm>
                    <a:prstGeom prst="rect">
                      <a:avLst/>
                    </a:prstGeom>
                  </pic:spPr>
                </pic:pic>
              </a:graphicData>
            </a:graphic>
            <wp14:sizeRelH relativeFrom="margin">
              <wp14:pctWidth>0</wp14:pctWidth>
            </wp14:sizeRelH>
            <wp14:sizeRelV relativeFrom="margin">
              <wp14:pctHeight>0</wp14:pctHeight>
            </wp14:sizeRelV>
          </wp:anchor>
        </w:drawing>
      </w:r>
      <w:r w:rsidRPr="00E77939">
        <w:rPr>
          <w:b/>
        </w:rPr>
        <w:t>L’énoncé</w:t>
      </w:r>
    </w:p>
    <w:p w:rsidR="000448C4" w:rsidRPr="000655A8" w:rsidRDefault="000655A8">
      <w:pPr>
        <w:spacing w:after="160" w:line="259" w:lineRule="auto"/>
        <w:ind w:left="0" w:firstLine="0"/>
      </w:pPr>
      <w:r>
        <w:t>Dans le cas d’un devoir en ligne, lorsqu’un étudiant accède à son devoir, l’énoncé est alors affiché ainsi que les documents nécessaires à l’accomplissement de sa tâche.  Selon ce que l’étudiant a à remettre, il devrait avoir accès au dépôt de fichier en ligne, à l’</w:t>
      </w:r>
      <w:r w:rsidR="00A12044">
        <w:t xml:space="preserve">outil </w:t>
      </w:r>
      <w:r>
        <w:t>d’enregistrement vocal</w:t>
      </w:r>
      <w:r w:rsidR="00A12044">
        <w:t xml:space="preserve"> ou les deux.</w:t>
      </w:r>
    </w:p>
    <w:p w:rsidR="000448C4" w:rsidRDefault="00DB5327">
      <w:pPr>
        <w:spacing w:after="160" w:line="259" w:lineRule="auto"/>
        <w:ind w:left="0" w:firstLine="0"/>
        <w:rPr>
          <w:b/>
        </w:rPr>
      </w:pPr>
      <w:r>
        <w:rPr>
          <w:noProof/>
          <w:lang w:eastAsia="fr-CA"/>
        </w:rPr>
        <w:drawing>
          <wp:anchor distT="0" distB="0" distL="114300" distR="114300" simplePos="0" relativeHeight="251660288" behindDoc="1" locked="0" layoutInCell="1" allowOverlap="1" wp14:anchorId="775B5E1A" wp14:editId="0735F579">
            <wp:simplePos x="0" y="0"/>
            <wp:positionH relativeFrom="column">
              <wp:posOffset>3834710</wp:posOffset>
            </wp:positionH>
            <wp:positionV relativeFrom="paragraph">
              <wp:posOffset>247015</wp:posOffset>
            </wp:positionV>
            <wp:extent cx="1288112" cy="1177976"/>
            <wp:effectExtent l="0" t="0" r="7620" b="3175"/>
            <wp:wrapTight wrapText="bothSides">
              <wp:wrapPolygon edited="0">
                <wp:start x="0" y="0"/>
                <wp:lineTo x="0" y="21309"/>
                <wp:lineTo x="21408" y="21309"/>
                <wp:lineTo x="2140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voirID.PNG"/>
                    <pic:cNvPicPr/>
                  </pic:nvPicPr>
                  <pic:blipFill>
                    <a:blip r:embed="rId16">
                      <a:extLst>
                        <a:ext uri="{28A0092B-C50C-407E-A947-70E740481C1C}">
                          <a14:useLocalDpi xmlns:a14="http://schemas.microsoft.com/office/drawing/2010/main" val="0"/>
                        </a:ext>
                      </a:extLst>
                    </a:blip>
                    <a:stretch>
                      <a:fillRect/>
                    </a:stretch>
                  </pic:blipFill>
                  <pic:spPr>
                    <a:xfrm>
                      <a:off x="0" y="0"/>
                      <a:ext cx="1288112" cy="1177976"/>
                    </a:xfrm>
                    <a:prstGeom prst="rect">
                      <a:avLst/>
                    </a:prstGeom>
                  </pic:spPr>
                </pic:pic>
              </a:graphicData>
            </a:graphic>
          </wp:anchor>
        </w:drawing>
      </w:r>
      <w:r>
        <w:rPr>
          <w:b/>
        </w:rPr>
        <w:t>Les identifiants</w:t>
      </w:r>
    </w:p>
    <w:p w:rsidR="00DB5327" w:rsidRDefault="00DB5327">
      <w:pPr>
        <w:spacing w:after="160" w:line="259" w:lineRule="auto"/>
        <w:ind w:left="0" w:firstLine="0"/>
      </w:pPr>
      <w:r>
        <w:t>Les identifiants sont indispensable à la transmission des notes de Moodle vers Colnet.  Il faut donc s’assurer que les ID ont été modifié selon la Fiche signalétique du cours.</w:t>
      </w:r>
    </w:p>
    <w:p w:rsidR="00DB5327" w:rsidRDefault="00DB5327">
      <w:pPr>
        <w:spacing w:after="160" w:line="259" w:lineRule="auto"/>
        <w:ind w:left="0" w:firstLine="0"/>
      </w:pPr>
      <w:r>
        <w:t>Pour y accéder : Activer le mode Édition &gt; Devoir 1C : Modifier : Paramètres &gt; Section Réglages courants.</w:t>
      </w:r>
    </w:p>
    <w:p w:rsidR="00DB5327" w:rsidRPr="00DB5327" w:rsidRDefault="00DB5327">
      <w:pPr>
        <w:spacing w:after="160" w:line="259" w:lineRule="auto"/>
        <w:ind w:left="0" w:firstLine="0"/>
      </w:pPr>
      <w:r>
        <w:t>Pour connaître les règles pour les ID, référe</w:t>
      </w:r>
      <w:r w:rsidR="00CA20B0">
        <w:t>z-vous</w:t>
      </w:r>
      <w:r>
        <w:t xml:space="preserve"> au document </w:t>
      </w:r>
      <w:r w:rsidRPr="00DB5327">
        <w:rPr>
          <w:i/>
        </w:rPr>
        <w:t>CreationCoursGabarit60-80.doc</w:t>
      </w:r>
      <w:r>
        <w:t xml:space="preserve"> dans les procéduriers de médiatisation du SAT.</w:t>
      </w:r>
    </w:p>
    <w:p w:rsidR="00E77939" w:rsidRPr="000448C4" w:rsidRDefault="00E77939">
      <w:pPr>
        <w:spacing w:after="160" w:line="259" w:lineRule="auto"/>
        <w:ind w:left="0" w:firstLine="0"/>
        <w:rPr>
          <w:b/>
        </w:rPr>
      </w:pPr>
    </w:p>
    <w:p w:rsidR="0083065E" w:rsidRDefault="0083065E" w:rsidP="0083065E">
      <w:pPr>
        <w:pStyle w:val="Titre1"/>
        <w:rPr>
          <w:b/>
        </w:rPr>
      </w:pPr>
      <w:bookmarkStart w:id="5" w:name="_Toc451351240"/>
      <w:r>
        <w:rPr>
          <w:b/>
        </w:rPr>
        <w:lastRenderedPageBreak/>
        <w:t>Section – Évaluation finale</w:t>
      </w:r>
      <w:bookmarkEnd w:id="5"/>
    </w:p>
    <w:p w:rsidR="00946AFC" w:rsidRDefault="00946AFC" w:rsidP="0083065E">
      <w:r>
        <w:rPr>
          <w:noProof/>
          <w:lang w:eastAsia="fr-CA"/>
        </w:rPr>
        <w:drawing>
          <wp:inline distT="0" distB="0" distL="0" distR="0">
            <wp:extent cx="3641698" cy="2340938"/>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aluation.PNG"/>
                    <pic:cNvPicPr/>
                  </pic:nvPicPr>
                  <pic:blipFill>
                    <a:blip r:embed="rId17">
                      <a:extLst>
                        <a:ext uri="{28A0092B-C50C-407E-A947-70E740481C1C}">
                          <a14:useLocalDpi xmlns:a14="http://schemas.microsoft.com/office/drawing/2010/main" val="0"/>
                        </a:ext>
                      </a:extLst>
                    </a:blip>
                    <a:stretch>
                      <a:fillRect/>
                    </a:stretch>
                  </pic:blipFill>
                  <pic:spPr>
                    <a:xfrm>
                      <a:off x="0" y="0"/>
                      <a:ext cx="3678308" cy="2364472"/>
                    </a:xfrm>
                    <a:prstGeom prst="rect">
                      <a:avLst/>
                    </a:prstGeom>
                  </pic:spPr>
                </pic:pic>
              </a:graphicData>
            </a:graphic>
          </wp:inline>
        </w:drawing>
      </w:r>
    </w:p>
    <w:p w:rsidR="000448C4" w:rsidRDefault="00946AFC" w:rsidP="00946AFC">
      <w:pPr>
        <w:ind w:left="0" w:firstLine="0"/>
      </w:pPr>
      <w:r>
        <w:t xml:space="preserve">Pour les évaluations, comme pour les devoirs, nous devons valider les énoncés et les identifiants (voir </w:t>
      </w:r>
      <w:r w:rsidRPr="00946AFC">
        <w:rPr>
          <w:i/>
        </w:rPr>
        <w:t>section Devoirs</w:t>
      </w:r>
      <w:r>
        <w:t>).  De plus, on doit s’assurer que le bon texte a été choisi selon le type d’évaluation. On doit donc avoir un seul paragraphe de texte et le texte en gras doit avoir été supprimé.</w:t>
      </w:r>
    </w:p>
    <w:p w:rsidR="00946AFC" w:rsidRDefault="00946AFC" w:rsidP="00946AFC">
      <w:pPr>
        <w:ind w:left="0" w:firstLine="0"/>
      </w:pPr>
    </w:p>
    <w:p w:rsidR="00946AFC" w:rsidRDefault="00946AFC" w:rsidP="00946AFC">
      <w:pPr>
        <w:pStyle w:val="Titre1"/>
        <w:rPr>
          <w:b/>
        </w:rPr>
      </w:pPr>
      <w:bookmarkStart w:id="6" w:name="_Toc451351241"/>
      <w:r>
        <w:rPr>
          <w:b/>
        </w:rPr>
        <w:t>Section – Ressources</w:t>
      </w:r>
      <w:bookmarkEnd w:id="6"/>
    </w:p>
    <w:p w:rsidR="00946AFC" w:rsidRDefault="003C7174" w:rsidP="00946AFC">
      <w:r>
        <w:rPr>
          <w:noProof/>
          <w:lang w:eastAsia="fr-CA"/>
        </w:rPr>
        <w:drawing>
          <wp:inline distT="0" distB="0" distL="0" distR="0">
            <wp:extent cx="3832529" cy="1686222"/>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sources.PNG"/>
                    <pic:cNvPicPr/>
                  </pic:nvPicPr>
                  <pic:blipFill>
                    <a:blip r:embed="rId18">
                      <a:extLst>
                        <a:ext uri="{28A0092B-C50C-407E-A947-70E740481C1C}">
                          <a14:useLocalDpi xmlns:a14="http://schemas.microsoft.com/office/drawing/2010/main" val="0"/>
                        </a:ext>
                      </a:extLst>
                    </a:blip>
                    <a:stretch>
                      <a:fillRect/>
                    </a:stretch>
                  </pic:blipFill>
                  <pic:spPr>
                    <a:xfrm>
                      <a:off x="0" y="0"/>
                      <a:ext cx="3857626" cy="1697264"/>
                    </a:xfrm>
                    <a:prstGeom prst="rect">
                      <a:avLst/>
                    </a:prstGeom>
                  </pic:spPr>
                </pic:pic>
              </a:graphicData>
            </a:graphic>
          </wp:inline>
        </w:drawing>
      </w:r>
    </w:p>
    <w:p w:rsidR="003C7174" w:rsidRDefault="003C7174" w:rsidP="003C7174">
      <w:pPr>
        <w:ind w:left="0" w:firstLine="0"/>
      </w:pPr>
      <w:r>
        <w:rPr>
          <w:noProof/>
          <w:lang w:eastAsia="fr-CA"/>
        </w:rPr>
        <w:drawing>
          <wp:anchor distT="0" distB="0" distL="114300" distR="114300" simplePos="0" relativeHeight="251661312" behindDoc="1" locked="0" layoutInCell="1" allowOverlap="1" wp14:anchorId="43B3A542" wp14:editId="5DD7BA47">
            <wp:simplePos x="0" y="0"/>
            <wp:positionH relativeFrom="column">
              <wp:posOffset>4106545</wp:posOffset>
            </wp:positionH>
            <wp:positionV relativeFrom="paragraph">
              <wp:posOffset>11430</wp:posOffset>
            </wp:positionV>
            <wp:extent cx="1151890" cy="2134235"/>
            <wp:effectExtent l="0" t="0" r="0" b="0"/>
            <wp:wrapTight wrapText="bothSides">
              <wp:wrapPolygon edited="0">
                <wp:start x="0" y="0"/>
                <wp:lineTo x="0" y="21401"/>
                <wp:lineTo x="21076" y="21401"/>
                <wp:lineTo x="2107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sourcesMenu.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1890" cy="2134235"/>
                    </a:xfrm>
                    <a:prstGeom prst="rect">
                      <a:avLst/>
                    </a:prstGeom>
                  </pic:spPr>
                </pic:pic>
              </a:graphicData>
            </a:graphic>
            <wp14:sizeRelH relativeFrom="margin">
              <wp14:pctWidth>0</wp14:pctWidth>
            </wp14:sizeRelH>
            <wp14:sizeRelV relativeFrom="margin">
              <wp14:pctHeight>0</wp14:pctHeight>
            </wp14:sizeRelV>
          </wp:anchor>
        </w:drawing>
      </w:r>
      <w:r>
        <w:t>Cette section doit contenir le Guide d’études et les autres ressources qui ne sont pas dans le contenu du cours.  Cette section doit être invisible pour les étudiants.  Par contre, les documents présents dans cette section doivent apparaitre dans le menu Ressources du cours, à gauche, sous le calendrier.</w:t>
      </w:r>
    </w:p>
    <w:p w:rsidR="003C7174" w:rsidRDefault="003C7174">
      <w:pPr>
        <w:spacing w:after="160" w:line="259" w:lineRule="auto"/>
        <w:ind w:left="0" w:firstLine="0"/>
      </w:pPr>
      <w:r>
        <w:br w:type="page"/>
      </w:r>
    </w:p>
    <w:p w:rsidR="0071135E" w:rsidRDefault="0071135E" w:rsidP="0061031F">
      <w:pPr>
        <w:pStyle w:val="Titre1"/>
        <w:ind w:left="0" w:firstLine="0"/>
        <w:rPr>
          <w:b/>
        </w:rPr>
      </w:pPr>
      <w:bookmarkStart w:id="7" w:name="_Toc451351242"/>
      <w:r>
        <w:rPr>
          <w:b/>
        </w:rPr>
        <w:lastRenderedPageBreak/>
        <w:t>Section – Réalisation</w:t>
      </w:r>
      <w:bookmarkEnd w:id="7"/>
    </w:p>
    <w:p w:rsidR="0071135E" w:rsidRDefault="0071135E" w:rsidP="0071135E">
      <w:pPr>
        <w:ind w:left="0" w:firstLine="0"/>
      </w:pPr>
      <w:r>
        <w:t>Rien à préciser vraiment ici.  Seulement s’assurer que la page de réalisation est présente et contient les bonnes informations.</w:t>
      </w:r>
    </w:p>
    <w:p w:rsidR="0071135E" w:rsidRDefault="0071135E" w:rsidP="0071135E">
      <w:pPr>
        <w:ind w:left="0" w:firstLine="0"/>
      </w:pPr>
    </w:p>
    <w:p w:rsidR="0071135E" w:rsidRDefault="0071135E" w:rsidP="0071135E">
      <w:pPr>
        <w:pStyle w:val="Titre1"/>
        <w:rPr>
          <w:b/>
        </w:rPr>
      </w:pPr>
      <w:bookmarkStart w:id="8" w:name="_Toc451351243"/>
      <w:r w:rsidRPr="0071135E">
        <w:rPr>
          <w:b/>
        </w:rPr>
        <w:t>Section – Contenu du cours</w:t>
      </w:r>
      <w:bookmarkEnd w:id="8"/>
    </w:p>
    <w:p w:rsidR="0071135E" w:rsidRDefault="00CF3680" w:rsidP="0071135E">
      <w:r>
        <w:rPr>
          <w:noProof/>
          <w:lang w:eastAsia="fr-CA"/>
        </w:rPr>
        <w:drawing>
          <wp:inline distT="0" distB="0" distL="0" distR="0">
            <wp:extent cx="4007458" cy="704801"/>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uCours.PNG"/>
                    <pic:cNvPicPr/>
                  </pic:nvPicPr>
                  <pic:blipFill>
                    <a:blip r:embed="rId20">
                      <a:extLst>
                        <a:ext uri="{28A0092B-C50C-407E-A947-70E740481C1C}">
                          <a14:useLocalDpi xmlns:a14="http://schemas.microsoft.com/office/drawing/2010/main" val="0"/>
                        </a:ext>
                      </a:extLst>
                    </a:blip>
                    <a:stretch>
                      <a:fillRect/>
                    </a:stretch>
                  </pic:blipFill>
                  <pic:spPr>
                    <a:xfrm>
                      <a:off x="0" y="0"/>
                      <a:ext cx="4131788" cy="726667"/>
                    </a:xfrm>
                    <a:prstGeom prst="rect">
                      <a:avLst/>
                    </a:prstGeom>
                  </pic:spPr>
                </pic:pic>
              </a:graphicData>
            </a:graphic>
          </wp:inline>
        </w:drawing>
      </w:r>
    </w:p>
    <w:p w:rsidR="00CF3680" w:rsidRDefault="00233A32" w:rsidP="00233A32">
      <w:pPr>
        <w:ind w:left="0" w:firstLine="0"/>
      </w:pPr>
      <w:r>
        <w:t xml:space="preserve">C’est dans cette section que l’étudiant a accès à tout son cours en ligne.  Le contenu aura été préalablement validé lors de la correction d’épreuve.  Par contre, il faut vérifier certains points.  Le plus important est de s’assurer que les sous-sections du cours sont tous réduites (ou fermées) </w:t>
      </w:r>
      <w:r w:rsidR="00C66F25">
        <w:t xml:space="preserve">et non ouvertes, </w:t>
      </w:r>
      <w:r>
        <w:t>comme démontré avec l</w:t>
      </w:r>
      <w:r w:rsidR="00C66F25">
        <w:t>’</w:t>
      </w:r>
      <w:r>
        <w:t>image</w:t>
      </w:r>
      <w:r w:rsidR="00C66F25">
        <w:t xml:space="preserve"> suivante.</w:t>
      </w:r>
    </w:p>
    <w:p w:rsidR="00233A32" w:rsidRPr="0071135E" w:rsidRDefault="00233A32" w:rsidP="00233A32">
      <w:pPr>
        <w:ind w:left="0" w:firstLine="0"/>
      </w:pPr>
      <w:r>
        <w:rPr>
          <w:noProof/>
          <w:lang w:eastAsia="fr-CA"/>
        </w:rPr>
        <w:drawing>
          <wp:inline distT="0" distB="0" distL="0" distR="0">
            <wp:extent cx="3228487" cy="1441197"/>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uCoursOuvert.PNG"/>
                    <pic:cNvPicPr/>
                  </pic:nvPicPr>
                  <pic:blipFill>
                    <a:blip r:embed="rId21">
                      <a:extLst>
                        <a:ext uri="{28A0092B-C50C-407E-A947-70E740481C1C}">
                          <a14:useLocalDpi xmlns:a14="http://schemas.microsoft.com/office/drawing/2010/main" val="0"/>
                        </a:ext>
                      </a:extLst>
                    </a:blip>
                    <a:stretch>
                      <a:fillRect/>
                    </a:stretch>
                  </pic:blipFill>
                  <pic:spPr>
                    <a:xfrm>
                      <a:off x="0" y="0"/>
                      <a:ext cx="3228487" cy="1441197"/>
                    </a:xfrm>
                    <a:prstGeom prst="rect">
                      <a:avLst/>
                    </a:prstGeom>
                  </pic:spPr>
                </pic:pic>
              </a:graphicData>
            </a:graphic>
          </wp:inline>
        </w:drawing>
      </w:r>
    </w:p>
    <w:p w:rsidR="00C66F25" w:rsidRDefault="00C66F25" w:rsidP="0061031F">
      <w:pPr>
        <w:pStyle w:val="Titre1"/>
        <w:ind w:left="0" w:firstLine="0"/>
        <w:rPr>
          <w:b/>
        </w:rPr>
      </w:pPr>
    </w:p>
    <w:p w:rsidR="009661F4" w:rsidRDefault="009661F4">
      <w:pPr>
        <w:spacing w:after="160" w:line="259" w:lineRule="auto"/>
        <w:ind w:left="0" w:firstLine="0"/>
        <w:rPr>
          <w:rFonts w:asciiTheme="majorHAnsi" w:eastAsiaTheme="majorEastAsia" w:hAnsiTheme="majorHAnsi" w:cstheme="majorBidi"/>
          <w:b/>
          <w:color w:val="2E74B5" w:themeColor="accent1" w:themeShade="BF"/>
          <w:sz w:val="32"/>
          <w:szCs w:val="32"/>
        </w:rPr>
      </w:pPr>
      <w:r>
        <w:rPr>
          <w:b/>
        </w:rPr>
        <w:br w:type="page"/>
      </w:r>
    </w:p>
    <w:p w:rsidR="00C66F25" w:rsidRDefault="00C66F25" w:rsidP="00C66F25">
      <w:pPr>
        <w:pStyle w:val="Titre1"/>
        <w:rPr>
          <w:b/>
        </w:rPr>
      </w:pPr>
      <w:bookmarkStart w:id="9" w:name="_Toc451351244"/>
      <w:r>
        <w:rPr>
          <w:b/>
        </w:rPr>
        <w:lastRenderedPageBreak/>
        <w:t>Carnet de notes</w:t>
      </w:r>
      <w:bookmarkEnd w:id="9"/>
    </w:p>
    <w:p w:rsidR="00C66F25" w:rsidRDefault="00C66F25" w:rsidP="00C66F25">
      <w:r>
        <w:rPr>
          <w:noProof/>
          <w:lang w:eastAsia="fr-CA"/>
        </w:rPr>
        <w:drawing>
          <wp:inline distT="0" distB="0" distL="0" distR="0">
            <wp:extent cx="3411110" cy="1539538"/>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netNotes.PNG"/>
                    <pic:cNvPicPr/>
                  </pic:nvPicPr>
                  <pic:blipFill>
                    <a:blip r:embed="rId22">
                      <a:extLst>
                        <a:ext uri="{28A0092B-C50C-407E-A947-70E740481C1C}">
                          <a14:useLocalDpi xmlns:a14="http://schemas.microsoft.com/office/drawing/2010/main" val="0"/>
                        </a:ext>
                      </a:extLst>
                    </a:blip>
                    <a:stretch>
                      <a:fillRect/>
                    </a:stretch>
                  </pic:blipFill>
                  <pic:spPr>
                    <a:xfrm>
                      <a:off x="0" y="0"/>
                      <a:ext cx="3464647" cy="1563701"/>
                    </a:xfrm>
                    <a:prstGeom prst="rect">
                      <a:avLst/>
                    </a:prstGeom>
                  </pic:spPr>
                </pic:pic>
              </a:graphicData>
            </a:graphic>
          </wp:inline>
        </w:drawing>
      </w:r>
    </w:p>
    <w:p w:rsidR="00CD7D9E" w:rsidRDefault="00CD7D9E" w:rsidP="00CD7D9E">
      <w:pPr>
        <w:ind w:left="0" w:firstLine="0"/>
      </w:pPr>
      <w:r>
        <w:t>Vous pouvez accéder au Carnet de notes via le menu de gauche &gt; section Mon dossier &gt; Mes résultats &gt; Notes.</w:t>
      </w:r>
    </w:p>
    <w:p w:rsidR="007F5AFB" w:rsidRDefault="007F5AFB">
      <w:pPr>
        <w:spacing w:after="160" w:line="259" w:lineRule="auto"/>
        <w:ind w:left="0" w:firstLine="0"/>
      </w:pPr>
      <w:r>
        <w:br w:type="page"/>
      </w:r>
    </w:p>
    <w:p w:rsidR="0061031F" w:rsidRDefault="0061031F" w:rsidP="0061031F">
      <w:pPr>
        <w:pStyle w:val="Titre1"/>
        <w:ind w:left="0" w:firstLine="0"/>
        <w:rPr>
          <w:b/>
        </w:rPr>
      </w:pPr>
      <w:bookmarkStart w:id="10" w:name="_Toc451351245"/>
      <w:r w:rsidRPr="0061031F">
        <w:rPr>
          <w:b/>
        </w:rPr>
        <w:lastRenderedPageBreak/>
        <w:t>List</w:t>
      </w:r>
      <w:r>
        <w:rPr>
          <w:b/>
        </w:rPr>
        <w:t>e</w:t>
      </w:r>
      <w:r w:rsidRPr="0061031F">
        <w:rPr>
          <w:b/>
        </w:rPr>
        <w:t xml:space="preserve"> de vérification</w:t>
      </w:r>
      <w:bookmarkEnd w:id="10"/>
    </w:p>
    <w:p w:rsidR="0061031F" w:rsidRPr="0061031F" w:rsidRDefault="0061031F" w:rsidP="0061031F"/>
    <w:tbl>
      <w:tblPr>
        <w:tblStyle w:val="Grilledutableau"/>
        <w:tblW w:w="9688" w:type="dxa"/>
        <w:tblInd w:w="-5" w:type="dxa"/>
        <w:tblLook w:val="04A0" w:firstRow="1" w:lastRow="0" w:firstColumn="1" w:lastColumn="0" w:noHBand="0" w:noVBand="1"/>
      </w:tblPr>
      <w:tblGrid>
        <w:gridCol w:w="9261"/>
        <w:gridCol w:w="427"/>
      </w:tblGrid>
      <w:tr w:rsidR="0061031F" w:rsidTr="004E654F">
        <w:trPr>
          <w:trHeight w:val="302"/>
        </w:trPr>
        <w:tc>
          <w:tcPr>
            <w:tcW w:w="9261" w:type="dxa"/>
            <w:vAlign w:val="center"/>
          </w:tcPr>
          <w:p w:rsidR="0061031F" w:rsidRDefault="0091711B" w:rsidP="0091711B">
            <w:pPr>
              <w:ind w:left="0" w:firstLine="0"/>
            </w:pPr>
            <w:r>
              <w:t>L’interface du cours est dans la bonne langue.</w:t>
            </w:r>
            <w:r w:rsidR="004E654F">
              <w:br/>
            </w:r>
            <w:r w:rsidR="004E654F" w:rsidRPr="004E654F">
              <w:rPr>
                <w:i/>
                <w:sz w:val="18"/>
                <w:szCs w:val="18"/>
              </w:rPr>
              <w:t>Note : option 60 = français; option 65 = anglais.  Un cours d’anglais, mais option 60 = français.</w:t>
            </w:r>
          </w:p>
        </w:tc>
        <w:tc>
          <w:tcPr>
            <w:tcW w:w="427" w:type="dxa"/>
          </w:tcPr>
          <w:p w:rsidR="0061031F" w:rsidRDefault="0061031F" w:rsidP="0061031F">
            <w:pPr>
              <w:ind w:left="0" w:firstLine="0"/>
            </w:pPr>
          </w:p>
        </w:tc>
      </w:tr>
      <w:tr w:rsidR="0061031F" w:rsidTr="004E654F">
        <w:trPr>
          <w:trHeight w:val="439"/>
        </w:trPr>
        <w:tc>
          <w:tcPr>
            <w:tcW w:w="9261" w:type="dxa"/>
            <w:vAlign w:val="center"/>
          </w:tcPr>
          <w:p w:rsidR="0061031F" w:rsidRDefault="0091711B" w:rsidP="0091711B">
            <w:pPr>
              <w:ind w:left="0" w:firstLine="0"/>
            </w:pPr>
            <w:r w:rsidRPr="006B782F">
              <w:rPr>
                <w:b/>
              </w:rPr>
              <w:t>Section – Bienvenue …</w:t>
            </w:r>
            <w:r>
              <w:t> : le babillard est vide (aucune discussion).</w:t>
            </w:r>
          </w:p>
        </w:tc>
        <w:tc>
          <w:tcPr>
            <w:tcW w:w="427" w:type="dxa"/>
          </w:tcPr>
          <w:p w:rsidR="0061031F" w:rsidRDefault="0061031F" w:rsidP="0061031F">
            <w:pPr>
              <w:ind w:left="0" w:firstLine="0"/>
            </w:pPr>
          </w:p>
        </w:tc>
      </w:tr>
      <w:tr w:rsidR="0061031F" w:rsidTr="004E654F">
        <w:trPr>
          <w:trHeight w:val="428"/>
        </w:trPr>
        <w:tc>
          <w:tcPr>
            <w:tcW w:w="9261" w:type="dxa"/>
            <w:vAlign w:val="center"/>
          </w:tcPr>
          <w:p w:rsidR="0061031F" w:rsidRDefault="0091711B" w:rsidP="0061031F">
            <w:pPr>
              <w:ind w:left="0" w:firstLine="0"/>
            </w:pPr>
            <w:r w:rsidRPr="00BC2030">
              <w:rPr>
                <w:b/>
                <w:highlight w:val="yellow"/>
              </w:rPr>
              <w:t>Section – Qualité …</w:t>
            </w:r>
            <w:r w:rsidRPr="00BC2030">
              <w:rPr>
                <w:highlight w:val="yellow"/>
              </w:rPr>
              <w:t> : les documents présents sont adéquats.</w:t>
            </w:r>
          </w:p>
        </w:tc>
        <w:tc>
          <w:tcPr>
            <w:tcW w:w="427" w:type="dxa"/>
          </w:tcPr>
          <w:p w:rsidR="0061031F" w:rsidRDefault="0061031F" w:rsidP="0061031F">
            <w:pPr>
              <w:ind w:left="0" w:firstLine="0"/>
            </w:pPr>
          </w:p>
        </w:tc>
      </w:tr>
      <w:tr w:rsidR="0061031F" w:rsidTr="004E654F">
        <w:trPr>
          <w:trHeight w:val="439"/>
        </w:trPr>
        <w:tc>
          <w:tcPr>
            <w:tcW w:w="9261" w:type="dxa"/>
            <w:vAlign w:val="center"/>
          </w:tcPr>
          <w:p w:rsidR="0061031F" w:rsidRDefault="0091711B" w:rsidP="0061031F">
            <w:pPr>
              <w:ind w:left="0" w:firstLine="0"/>
            </w:pPr>
            <w:r w:rsidRPr="006B782F">
              <w:rPr>
                <w:b/>
              </w:rPr>
              <w:t>Section – Corrigés</w:t>
            </w:r>
            <w:r>
              <w:t> : les bons documents y sont déposé et la nomenclature conforme.</w:t>
            </w:r>
          </w:p>
        </w:tc>
        <w:tc>
          <w:tcPr>
            <w:tcW w:w="427" w:type="dxa"/>
          </w:tcPr>
          <w:p w:rsidR="0061031F" w:rsidRDefault="0061031F" w:rsidP="0061031F">
            <w:pPr>
              <w:ind w:left="0" w:firstLine="0"/>
            </w:pPr>
          </w:p>
        </w:tc>
      </w:tr>
      <w:tr w:rsidR="006C3775" w:rsidTr="004E654F">
        <w:trPr>
          <w:trHeight w:val="439"/>
        </w:trPr>
        <w:tc>
          <w:tcPr>
            <w:tcW w:w="9261" w:type="dxa"/>
            <w:vAlign w:val="center"/>
          </w:tcPr>
          <w:p w:rsidR="006C3775" w:rsidRPr="00BC2030" w:rsidRDefault="006C3775" w:rsidP="0061031F">
            <w:pPr>
              <w:ind w:left="0" w:firstLine="0"/>
              <w:rPr>
                <w:b/>
                <w:highlight w:val="yellow"/>
              </w:rPr>
            </w:pPr>
            <w:r w:rsidRPr="00BC2030">
              <w:rPr>
                <w:b/>
                <w:highlight w:val="yellow"/>
              </w:rPr>
              <w:t>Section – Corrigés</w:t>
            </w:r>
            <w:r w:rsidRPr="00BC2030">
              <w:rPr>
                <w:highlight w:val="yellow"/>
              </w:rPr>
              <w:t> : la section est invisible aux étudiants.</w:t>
            </w:r>
          </w:p>
        </w:tc>
        <w:tc>
          <w:tcPr>
            <w:tcW w:w="427" w:type="dxa"/>
          </w:tcPr>
          <w:p w:rsidR="006C3775" w:rsidRDefault="006C3775" w:rsidP="0061031F">
            <w:pPr>
              <w:ind w:left="0" w:firstLine="0"/>
            </w:pPr>
          </w:p>
        </w:tc>
      </w:tr>
      <w:tr w:rsidR="0061031F" w:rsidTr="004E654F">
        <w:trPr>
          <w:trHeight w:val="1939"/>
        </w:trPr>
        <w:tc>
          <w:tcPr>
            <w:tcW w:w="9261" w:type="dxa"/>
            <w:vAlign w:val="center"/>
          </w:tcPr>
          <w:p w:rsidR="00B30DF4" w:rsidRDefault="0091711B" w:rsidP="0061031F">
            <w:pPr>
              <w:ind w:left="0" w:firstLine="0"/>
            </w:pPr>
            <w:r w:rsidRPr="006B782F">
              <w:rPr>
                <w:b/>
              </w:rPr>
              <w:t>Section – Devoirs</w:t>
            </w:r>
            <w:r>
              <w:t> :</w:t>
            </w:r>
          </w:p>
          <w:p w:rsidR="00B30DF4" w:rsidRDefault="00B30DF4" w:rsidP="00B30DF4">
            <w:pPr>
              <w:pStyle w:val="Paragraphedeliste"/>
              <w:numPr>
                <w:ilvl w:val="0"/>
                <w:numId w:val="36"/>
              </w:numPr>
            </w:pPr>
            <w:r>
              <w:t>Les devoirs sont intégrés dans le contenu du cours, au bon endroit dans le parcours de l’étudiant.  Ils sont nommés selon les séries définies dans la Fiche signalétique ou COBA.</w:t>
            </w:r>
            <w:r>
              <w:br/>
              <w:t>OU</w:t>
            </w:r>
          </w:p>
          <w:p w:rsidR="0061031F" w:rsidRDefault="00B30DF4" w:rsidP="00B30DF4">
            <w:pPr>
              <w:pStyle w:val="Paragraphedeliste"/>
              <w:numPr>
                <w:ilvl w:val="0"/>
                <w:numId w:val="36"/>
              </w:numPr>
            </w:pPr>
            <w:r>
              <w:t>Les devoirs sont groupés dans la section Devoirs. Ils sont nommés selon les séries définies dans la Fiche signalétique ou COBA.</w:t>
            </w:r>
          </w:p>
        </w:tc>
        <w:tc>
          <w:tcPr>
            <w:tcW w:w="427" w:type="dxa"/>
          </w:tcPr>
          <w:p w:rsidR="0061031F" w:rsidRDefault="0061031F" w:rsidP="0061031F">
            <w:pPr>
              <w:ind w:left="0" w:firstLine="0"/>
            </w:pPr>
          </w:p>
        </w:tc>
      </w:tr>
      <w:tr w:rsidR="0061031F" w:rsidTr="004E654F">
        <w:trPr>
          <w:trHeight w:val="439"/>
        </w:trPr>
        <w:tc>
          <w:tcPr>
            <w:tcW w:w="9261" w:type="dxa"/>
            <w:vAlign w:val="center"/>
          </w:tcPr>
          <w:p w:rsidR="0061031F" w:rsidRDefault="00B30DF4" w:rsidP="006B782F">
            <w:pPr>
              <w:ind w:left="0" w:firstLine="0"/>
            </w:pPr>
            <w:r w:rsidRPr="00BC2030">
              <w:rPr>
                <w:b/>
                <w:highlight w:val="yellow"/>
              </w:rPr>
              <w:t xml:space="preserve">Section – </w:t>
            </w:r>
            <w:r w:rsidR="006B782F" w:rsidRPr="00BC2030">
              <w:rPr>
                <w:b/>
                <w:highlight w:val="yellow"/>
              </w:rPr>
              <w:t>Devoirs</w:t>
            </w:r>
            <w:r w:rsidR="006B782F" w:rsidRPr="00BC2030">
              <w:rPr>
                <w:highlight w:val="yellow"/>
              </w:rPr>
              <w:t xml:space="preserve"> </w:t>
            </w:r>
            <w:r w:rsidRPr="00BC2030">
              <w:rPr>
                <w:highlight w:val="yellow"/>
              </w:rPr>
              <w:t xml:space="preserve">: </w:t>
            </w:r>
            <w:r w:rsidR="006B782F" w:rsidRPr="00BC2030">
              <w:rPr>
                <w:highlight w:val="yellow"/>
              </w:rPr>
              <w:t>les énoncés sont conformes et les fichiers-joints peuvent être téléchargés.</w:t>
            </w:r>
          </w:p>
        </w:tc>
        <w:tc>
          <w:tcPr>
            <w:tcW w:w="427" w:type="dxa"/>
          </w:tcPr>
          <w:p w:rsidR="0061031F" w:rsidRDefault="0061031F" w:rsidP="0061031F">
            <w:pPr>
              <w:ind w:left="0" w:firstLine="0"/>
            </w:pPr>
          </w:p>
        </w:tc>
      </w:tr>
      <w:tr w:rsidR="0061031F" w:rsidTr="004E654F">
        <w:trPr>
          <w:trHeight w:val="428"/>
        </w:trPr>
        <w:tc>
          <w:tcPr>
            <w:tcW w:w="9261" w:type="dxa"/>
            <w:vAlign w:val="center"/>
          </w:tcPr>
          <w:p w:rsidR="0061031F" w:rsidRPr="00BC2030" w:rsidRDefault="006B782F" w:rsidP="0061031F">
            <w:pPr>
              <w:ind w:left="0" w:firstLine="0"/>
              <w:rPr>
                <w:highlight w:val="yellow"/>
              </w:rPr>
            </w:pPr>
            <w:r w:rsidRPr="00BC2030">
              <w:rPr>
                <w:b/>
                <w:highlight w:val="yellow"/>
              </w:rPr>
              <w:t>Section – Devoirs</w:t>
            </w:r>
            <w:r w:rsidRPr="00BC2030">
              <w:rPr>
                <w:highlight w:val="yellow"/>
              </w:rPr>
              <w:t> : les identifiants sont conformes.</w:t>
            </w:r>
          </w:p>
        </w:tc>
        <w:tc>
          <w:tcPr>
            <w:tcW w:w="427" w:type="dxa"/>
          </w:tcPr>
          <w:p w:rsidR="0061031F" w:rsidRDefault="0061031F" w:rsidP="0061031F">
            <w:pPr>
              <w:ind w:left="0" w:firstLine="0"/>
            </w:pPr>
          </w:p>
        </w:tc>
      </w:tr>
      <w:tr w:rsidR="0061031F" w:rsidTr="004E654F">
        <w:trPr>
          <w:trHeight w:val="428"/>
        </w:trPr>
        <w:tc>
          <w:tcPr>
            <w:tcW w:w="9261" w:type="dxa"/>
            <w:vAlign w:val="center"/>
          </w:tcPr>
          <w:p w:rsidR="0061031F" w:rsidRDefault="006B782F" w:rsidP="0061031F">
            <w:pPr>
              <w:ind w:left="0" w:firstLine="0"/>
            </w:pPr>
            <w:r w:rsidRPr="00BC2030">
              <w:rPr>
                <w:b/>
                <w:highlight w:val="yellow"/>
              </w:rPr>
              <w:t>Section – Devoirs</w:t>
            </w:r>
            <w:r w:rsidRPr="00BC2030">
              <w:rPr>
                <w:highlight w:val="yellow"/>
              </w:rPr>
              <w:t> : les règles d’accessibilité sont adéquates.</w:t>
            </w:r>
          </w:p>
        </w:tc>
        <w:tc>
          <w:tcPr>
            <w:tcW w:w="427" w:type="dxa"/>
          </w:tcPr>
          <w:p w:rsidR="0061031F" w:rsidRDefault="0061031F" w:rsidP="0061031F">
            <w:pPr>
              <w:ind w:left="0" w:firstLine="0"/>
            </w:pPr>
          </w:p>
        </w:tc>
      </w:tr>
      <w:tr w:rsidR="006B782F" w:rsidTr="004E654F">
        <w:trPr>
          <w:trHeight w:val="428"/>
        </w:trPr>
        <w:tc>
          <w:tcPr>
            <w:tcW w:w="9261" w:type="dxa"/>
            <w:vAlign w:val="center"/>
          </w:tcPr>
          <w:p w:rsidR="006B782F" w:rsidRDefault="006B782F" w:rsidP="006B782F">
            <w:pPr>
              <w:ind w:left="0" w:firstLine="0"/>
            </w:pPr>
            <w:r w:rsidRPr="006B782F">
              <w:rPr>
                <w:b/>
              </w:rPr>
              <w:t>Section – Évaluation finale </w:t>
            </w:r>
            <w:r w:rsidRPr="006B782F">
              <w:t>:</w:t>
            </w:r>
            <w:r>
              <w:t xml:space="preserve"> elles sont nommés selon les séries définies dans la Fiche signalétique ou COBA.</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Pr="006B782F" w:rsidRDefault="006B782F" w:rsidP="00CC7E41">
            <w:pPr>
              <w:ind w:left="0" w:firstLine="0"/>
            </w:pPr>
            <w:r w:rsidRPr="006B782F">
              <w:rPr>
                <w:b/>
              </w:rPr>
              <w:t>Section – Évaluation finale</w:t>
            </w:r>
            <w:r>
              <w:rPr>
                <w:b/>
              </w:rPr>
              <w:t> </w:t>
            </w:r>
            <w:r>
              <w:t>: le texte d’</w:t>
            </w:r>
            <w:r w:rsidR="00CC7E41">
              <w:t>introduction a été modifié selon le type d’évaluation.</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Default="00CC7E41" w:rsidP="00CC7E41">
            <w:pPr>
              <w:ind w:left="0" w:firstLine="0"/>
            </w:pPr>
            <w:r w:rsidRPr="00BC2030">
              <w:rPr>
                <w:b/>
                <w:highlight w:val="yellow"/>
              </w:rPr>
              <w:t>Section – Évaluation finale</w:t>
            </w:r>
            <w:r w:rsidRPr="00BC2030">
              <w:rPr>
                <w:highlight w:val="yellow"/>
              </w:rPr>
              <w:t xml:space="preserve"> : les énoncés sont conformes et les fichiers-joints peuvent être téléchargés.</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Pr="00BC2030" w:rsidRDefault="00CC7E41" w:rsidP="00CC7E41">
            <w:pPr>
              <w:ind w:left="0" w:firstLine="0"/>
              <w:rPr>
                <w:highlight w:val="yellow"/>
              </w:rPr>
            </w:pPr>
            <w:r w:rsidRPr="00BC2030">
              <w:rPr>
                <w:b/>
                <w:highlight w:val="yellow"/>
              </w:rPr>
              <w:t>Section – Évaluation finale</w:t>
            </w:r>
            <w:r w:rsidRPr="00BC2030">
              <w:rPr>
                <w:highlight w:val="yellow"/>
              </w:rPr>
              <w:t> : les identifiants sont conformes.</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Default="00CC7E41" w:rsidP="00CC7E41">
            <w:pPr>
              <w:ind w:left="0" w:firstLine="0"/>
            </w:pPr>
            <w:r w:rsidRPr="00BC2030">
              <w:rPr>
                <w:b/>
                <w:highlight w:val="yellow"/>
              </w:rPr>
              <w:t>Section – Évaluation finale</w:t>
            </w:r>
            <w:r w:rsidRPr="00BC2030">
              <w:rPr>
                <w:highlight w:val="yellow"/>
              </w:rPr>
              <w:t> : les règles d’accessibilité sont adéquates.</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Default="006C3775" w:rsidP="0061031F">
            <w:pPr>
              <w:ind w:left="0" w:firstLine="0"/>
            </w:pPr>
            <w:r w:rsidRPr="00BC2030">
              <w:rPr>
                <w:b/>
                <w:highlight w:val="yellow"/>
              </w:rPr>
              <w:t>Section – Ressources</w:t>
            </w:r>
            <w:r w:rsidRPr="00BC2030">
              <w:rPr>
                <w:highlight w:val="yellow"/>
              </w:rPr>
              <w:t> : les documents sont visibles et accessibles dans le menu de gauche, sous le calendrier.</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Default="006C3775" w:rsidP="006C3775">
            <w:pPr>
              <w:ind w:left="0" w:firstLine="0"/>
            </w:pPr>
            <w:r w:rsidRPr="00BC2030">
              <w:rPr>
                <w:b/>
                <w:highlight w:val="yellow"/>
              </w:rPr>
              <w:t>Section – Ressources</w:t>
            </w:r>
            <w:r w:rsidRPr="00BC2030">
              <w:rPr>
                <w:highlight w:val="yellow"/>
              </w:rPr>
              <w:t> : la section est invisible aux étudiants.</w:t>
            </w:r>
          </w:p>
        </w:tc>
        <w:tc>
          <w:tcPr>
            <w:tcW w:w="427" w:type="dxa"/>
          </w:tcPr>
          <w:p w:rsidR="006B782F" w:rsidRDefault="006B782F" w:rsidP="0061031F">
            <w:pPr>
              <w:ind w:left="0" w:firstLine="0"/>
            </w:pPr>
          </w:p>
        </w:tc>
      </w:tr>
      <w:tr w:rsidR="006B782F" w:rsidTr="004E654F">
        <w:trPr>
          <w:trHeight w:val="428"/>
        </w:trPr>
        <w:tc>
          <w:tcPr>
            <w:tcW w:w="9261" w:type="dxa"/>
            <w:vAlign w:val="center"/>
          </w:tcPr>
          <w:p w:rsidR="006B782F" w:rsidRDefault="006C3775" w:rsidP="0061031F">
            <w:pPr>
              <w:ind w:left="0" w:firstLine="0"/>
            </w:pPr>
            <w:r w:rsidRPr="00BC2030">
              <w:rPr>
                <w:b/>
                <w:highlight w:val="yellow"/>
              </w:rPr>
              <w:t>Section – Réalisation</w:t>
            </w:r>
            <w:r w:rsidRPr="00BC2030">
              <w:rPr>
                <w:highlight w:val="yellow"/>
              </w:rPr>
              <w:t> : la section est présente et le contenu conforme.</w:t>
            </w:r>
          </w:p>
        </w:tc>
        <w:tc>
          <w:tcPr>
            <w:tcW w:w="427" w:type="dxa"/>
          </w:tcPr>
          <w:p w:rsidR="006B782F" w:rsidRDefault="006B782F" w:rsidP="0061031F">
            <w:pPr>
              <w:ind w:left="0" w:firstLine="0"/>
            </w:pPr>
          </w:p>
        </w:tc>
      </w:tr>
      <w:tr w:rsidR="00616FF1" w:rsidTr="004E654F">
        <w:trPr>
          <w:trHeight w:val="428"/>
        </w:trPr>
        <w:tc>
          <w:tcPr>
            <w:tcW w:w="9261" w:type="dxa"/>
            <w:vAlign w:val="center"/>
          </w:tcPr>
          <w:p w:rsidR="00616FF1" w:rsidRPr="00616FF1" w:rsidRDefault="00616FF1" w:rsidP="0061031F">
            <w:pPr>
              <w:ind w:left="0" w:firstLine="0"/>
            </w:pPr>
            <w:r w:rsidRPr="00BC2030">
              <w:rPr>
                <w:b/>
                <w:highlight w:val="yellow"/>
              </w:rPr>
              <w:t>Section – Contenu de cours </w:t>
            </w:r>
            <w:r w:rsidRPr="00BC2030">
              <w:rPr>
                <w:highlight w:val="yellow"/>
              </w:rPr>
              <w:t>: toutes les activités du cours sont présentes et accessibles.</w:t>
            </w:r>
          </w:p>
        </w:tc>
        <w:tc>
          <w:tcPr>
            <w:tcW w:w="427" w:type="dxa"/>
          </w:tcPr>
          <w:p w:rsidR="00616FF1" w:rsidRDefault="00616FF1" w:rsidP="0061031F">
            <w:pPr>
              <w:ind w:left="0" w:firstLine="0"/>
            </w:pPr>
          </w:p>
        </w:tc>
      </w:tr>
      <w:tr w:rsidR="00616FF1" w:rsidTr="004E654F">
        <w:trPr>
          <w:trHeight w:val="428"/>
        </w:trPr>
        <w:tc>
          <w:tcPr>
            <w:tcW w:w="9261" w:type="dxa"/>
            <w:vAlign w:val="center"/>
          </w:tcPr>
          <w:p w:rsidR="00616FF1" w:rsidRPr="006C3775" w:rsidRDefault="00616FF1" w:rsidP="0061031F">
            <w:pPr>
              <w:ind w:left="0" w:firstLine="0"/>
              <w:rPr>
                <w:b/>
              </w:rPr>
            </w:pPr>
            <w:r>
              <w:rPr>
                <w:b/>
              </w:rPr>
              <w:t>Section – Contenu de cours </w:t>
            </w:r>
            <w:r>
              <w:t>: les sections flexibles sont réduites.</w:t>
            </w:r>
          </w:p>
        </w:tc>
        <w:tc>
          <w:tcPr>
            <w:tcW w:w="427" w:type="dxa"/>
          </w:tcPr>
          <w:p w:rsidR="00616FF1" w:rsidRDefault="00616FF1" w:rsidP="0061031F">
            <w:pPr>
              <w:ind w:left="0" w:firstLine="0"/>
            </w:pPr>
          </w:p>
        </w:tc>
      </w:tr>
      <w:tr w:rsidR="00616FF1" w:rsidTr="006B782F">
        <w:trPr>
          <w:trHeight w:val="428"/>
        </w:trPr>
        <w:tc>
          <w:tcPr>
            <w:tcW w:w="9261" w:type="dxa"/>
          </w:tcPr>
          <w:p w:rsidR="00616FF1" w:rsidRDefault="00616FF1" w:rsidP="0061031F">
            <w:pPr>
              <w:ind w:left="0" w:firstLine="0"/>
              <w:rPr>
                <w:b/>
              </w:rPr>
            </w:pPr>
            <w:r>
              <w:rPr>
                <w:b/>
              </w:rPr>
              <w:lastRenderedPageBreak/>
              <w:t>Section – Contenu de cours </w:t>
            </w:r>
            <w:r>
              <w:t>: les titres des sections sont conformes.</w:t>
            </w:r>
          </w:p>
        </w:tc>
        <w:tc>
          <w:tcPr>
            <w:tcW w:w="427" w:type="dxa"/>
          </w:tcPr>
          <w:p w:rsidR="00616FF1" w:rsidRDefault="00616FF1" w:rsidP="0061031F">
            <w:pPr>
              <w:ind w:left="0" w:firstLine="0"/>
            </w:pPr>
          </w:p>
        </w:tc>
      </w:tr>
      <w:tr w:rsidR="00887080" w:rsidTr="006B782F">
        <w:trPr>
          <w:trHeight w:val="428"/>
        </w:trPr>
        <w:tc>
          <w:tcPr>
            <w:tcW w:w="9261" w:type="dxa"/>
          </w:tcPr>
          <w:p w:rsidR="00887080" w:rsidRPr="00887080" w:rsidRDefault="00887080" w:rsidP="0061031F">
            <w:pPr>
              <w:ind w:left="0" w:firstLine="0"/>
            </w:pPr>
            <w:r>
              <w:rPr>
                <w:b/>
              </w:rPr>
              <w:t>Carnet de notes </w:t>
            </w:r>
            <w:r>
              <w:t>: les pondérations affichées corresponde à la Fiche signalétique/COBA</w:t>
            </w:r>
            <w:r w:rsidR="00B639B8">
              <w:t>.</w:t>
            </w:r>
          </w:p>
        </w:tc>
        <w:tc>
          <w:tcPr>
            <w:tcW w:w="427" w:type="dxa"/>
          </w:tcPr>
          <w:p w:rsidR="00887080" w:rsidRDefault="00887080" w:rsidP="0061031F">
            <w:pPr>
              <w:ind w:left="0" w:firstLine="0"/>
            </w:pPr>
          </w:p>
        </w:tc>
      </w:tr>
      <w:tr w:rsidR="00887080" w:rsidTr="006B782F">
        <w:trPr>
          <w:trHeight w:val="428"/>
        </w:trPr>
        <w:tc>
          <w:tcPr>
            <w:tcW w:w="9261" w:type="dxa"/>
          </w:tcPr>
          <w:p w:rsidR="00887080" w:rsidRPr="00BC2030" w:rsidRDefault="00887080" w:rsidP="0061031F">
            <w:pPr>
              <w:ind w:left="0" w:firstLine="0"/>
              <w:rPr>
                <w:highlight w:val="yellow"/>
              </w:rPr>
            </w:pPr>
            <w:r w:rsidRPr="00BC2030">
              <w:rPr>
                <w:b/>
                <w:highlight w:val="yellow"/>
              </w:rPr>
              <w:t>Carnet de notes </w:t>
            </w:r>
            <w:r w:rsidRPr="00BC2030">
              <w:rPr>
                <w:highlight w:val="yellow"/>
              </w:rPr>
              <w:t xml:space="preserve">: </w:t>
            </w:r>
            <w:r w:rsidR="00B639B8" w:rsidRPr="00BC2030">
              <w:rPr>
                <w:highlight w:val="yellow"/>
              </w:rPr>
              <w:t>les évaluations sont groupées dans les bonnes catégories.</w:t>
            </w:r>
          </w:p>
        </w:tc>
        <w:tc>
          <w:tcPr>
            <w:tcW w:w="427" w:type="dxa"/>
          </w:tcPr>
          <w:p w:rsidR="00887080" w:rsidRDefault="00887080" w:rsidP="0061031F">
            <w:pPr>
              <w:ind w:left="0" w:firstLine="0"/>
            </w:pPr>
          </w:p>
        </w:tc>
      </w:tr>
      <w:tr w:rsidR="00887080" w:rsidTr="006B782F">
        <w:trPr>
          <w:trHeight w:val="428"/>
        </w:trPr>
        <w:tc>
          <w:tcPr>
            <w:tcW w:w="9261" w:type="dxa"/>
          </w:tcPr>
          <w:p w:rsidR="00887080" w:rsidRPr="00B639B8" w:rsidRDefault="00B639B8" w:rsidP="0061031F">
            <w:pPr>
              <w:ind w:left="0" w:firstLine="0"/>
            </w:pPr>
            <w:r w:rsidRPr="00BC2030">
              <w:rPr>
                <w:b/>
                <w:highlight w:val="yellow"/>
              </w:rPr>
              <w:t>Carnet de notes </w:t>
            </w:r>
            <w:r w:rsidRPr="00BC2030">
              <w:rPr>
                <w:highlight w:val="yellow"/>
              </w:rPr>
              <w:t xml:space="preserve">: la catégorie </w:t>
            </w:r>
            <w:r w:rsidRPr="00BC2030">
              <w:rPr>
                <w:i/>
                <w:highlight w:val="yellow"/>
              </w:rPr>
              <w:t>Activités non notées</w:t>
            </w:r>
            <w:r w:rsidRPr="00BC2030">
              <w:rPr>
                <w:highlight w:val="yellow"/>
              </w:rPr>
              <w:t xml:space="preserve"> est invisible aux étudiants et contient toute activité n’étant pas une évaluation.</w:t>
            </w:r>
          </w:p>
        </w:tc>
        <w:tc>
          <w:tcPr>
            <w:tcW w:w="427" w:type="dxa"/>
          </w:tcPr>
          <w:p w:rsidR="00887080" w:rsidRDefault="00887080" w:rsidP="0061031F">
            <w:pPr>
              <w:ind w:left="0" w:firstLine="0"/>
            </w:pPr>
          </w:p>
        </w:tc>
      </w:tr>
      <w:tr w:rsidR="00B639B8" w:rsidTr="006B782F">
        <w:trPr>
          <w:trHeight w:val="428"/>
        </w:trPr>
        <w:tc>
          <w:tcPr>
            <w:tcW w:w="9261" w:type="dxa"/>
          </w:tcPr>
          <w:p w:rsidR="00B639B8" w:rsidRPr="00B639B8" w:rsidRDefault="00B639B8" w:rsidP="0061031F">
            <w:pPr>
              <w:ind w:left="0" w:firstLine="0"/>
            </w:pPr>
            <w:r w:rsidRPr="00BC2030">
              <w:rPr>
                <w:b/>
                <w:highlight w:val="yellow"/>
              </w:rPr>
              <w:t>Carnet de notes </w:t>
            </w:r>
            <w:r w:rsidRPr="00BC2030">
              <w:rPr>
                <w:highlight w:val="yellow"/>
              </w:rPr>
              <w:t xml:space="preserve">: le </w:t>
            </w:r>
            <w:r w:rsidRPr="00BC2030">
              <w:rPr>
                <w:i/>
                <w:highlight w:val="yellow"/>
              </w:rPr>
              <w:t>Total du cours</w:t>
            </w:r>
            <w:r w:rsidRPr="00BC2030">
              <w:rPr>
                <w:highlight w:val="yellow"/>
              </w:rPr>
              <w:t xml:space="preserve"> est invisible aux étudiants.</w:t>
            </w:r>
          </w:p>
        </w:tc>
        <w:tc>
          <w:tcPr>
            <w:tcW w:w="427" w:type="dxa"/>
          </w:tcPr>
          <w:p w:rsidR="00B639B8" w:rsidRDefault="00B639B8" w:rsidP="0061031F">
            <w:pPr>
              <w:ind w:left="0" w:firstLine="0"/>
            </w:pPr>
          </w:p>
        </w:tc>
      </w:tr>
    </w:tbl>
    <w:p w:rsidR="0061031F" w:rsidRPr="0061031F" w:rsidRDefault="0061031F" w:rsidP="0061031F">
      <w:bookmarkStart w:id="11" w:name="_GoBack"/>
      <w:bookmarkEnd w:id="11"/>
    </w:p>
    <w:sectPr w:rsidR="0061031F" w:rsidRPr="0061031F" w:rsidSect="00A11D33">
      <w:pgSz w:w="12240" w:h="15840"/>
      <w:pgMar w:top="1440" w:right="1800" w:bottom="56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E8" w:rsidRDefault="006C41E8" w:rsidP="00654132">
      <w:pPr>
        <w:spacing w:after="0" w:line="240" w:lineRule="auto"/>
      </w:pPr>
      <w:r>
        <w:separator/>
      </w:r>
    </w:p>
  </w:endnote>
  <w:endnote w:type="continuationSeparator" w:id="0">
    <w:p w:rsidR="006C41E8" w:rsidRDefault="006C41E8" w:rsidP="0065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E8" w:rsidRDefault="006C41E8" w:rsidP="00654132">
      <w:pPr>
        <w:spacing w:after="0" w:line="240" w:lineRule="auto"/>
      </w:pPr>
      <w:r>
        <w:separator/>
      </w:r>
    </w:p>
  </w:footnote>
  <w:footnote w:type="continuationSeparator" w:id="0">
    <w:p w:rsidR="006C41E8" w:rsidRDefault="006C41E8" w:rsidP="00654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607"/>
    <w:multiLevelType w:val="hybridMultilevel"/>
    <w:tmpl w:val="04C09C96"/>
    <w:lvl w:ilvl="0" w:tplc="61A8F062">
      <w:start w:val="1"/>
      <w:numFmt w:val="upperLetter"/>
      <w:lvlText w:val="%1."/>
      <w:lvlJc w:val="left"/>
      <w:pPr>
        <w:ind w:left="1146" w:hanging="360"/>
      </w:pPr>
      <w:rPr>
        <w:rFonts w:hint="default"/>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 w15:restartNumberingAfterBreak="0">
    <w:nsid w:val="076A2455"/>
    <w:multiLevelType w:val="hybridMultilevel"/>
    <w:tmpl w:val="F48E7930"/>
    <w:lvl w:ilvl="0" w:tplc="61A8F062">
      <w:start w:val="1"/>
      <w:numFmt w:val="upperLetter"/>
      <w:lvlText w:val="%1."/>
      <w:lvlJc w:val="left"/>
      <w:pPr>
        <w:ind w:left="366"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C030A1F"/>
    <w:multiLevelType w:val="hybridMultilevel"/>
    <w:tmpl w:val="DE68F3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257B50"/>
    <w:multiLevelType w:val="hybridMultilevel"/>
    <w:tmpl w:val="EE6427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422187D"/>
    <w:multiLevelType w:val="hybridMultilevel"/>
    <w:tmpl w:val="303A6A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4525189"/>
    <w:multiLevelType w:val="hybridMultilevel"/>
    <w:tmpl w:val="8C10B1CC"/>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4EF59A5"/>
    <w:multiLevelType w:val="hybridMultilevel"/>
    <w:tmpl w:val="C04EEF20"/>
    <w:lvl w:ilvl="0" w:tplc="61A8F062">
      <w:start w:val="1"/>
      <w:numFmt w:val="upperLetter"/>
      <w:lvlText w:val="%1."/>
      <w:lvlJc w:val="left"/>
      <w:pPr>
        <w:ind w:left="366"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57A2055"/>
    <w:multiLevelType w:val="hybridMultilevel"/>
    <w:tmpl w:val="34A04F06"/>
    <w:lvl w:ilvl="0" w:tplc="61A8F062">
      <w:start w:val="1"/>
      <w:numFmt w:val="upperLetter"/>
      <w:lvlText w:val="%1."/>
      <w:lvlJc w:val="left"/>
      <w:pPr>
        <w:ind w:left="36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6F60AE6"/>
    <w:multiLevelType w:val="hybridMultilevel"/>
    <w:tmpl w:val="BA5629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E252EBA"/>
    <w:multiLevelType w:val="hybridMultilevel"/>
    <w:tmpl w:val="1CAA1434"/>
    <w:lvl w:ilvl="0" w:tplc="659C913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201E6660"/>
    <w:multiLevelType w:val="hybridMultilevel"/>
    <w:tmpl w:val="8F90F1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2DF6F25"/>
    <w:multiLevelType w:val="hybridMultilevel"/>
    <w:tmpl w:val="4386ED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0A57A2"/>
    <w:multiLevelType w:val="hybridMultilevel"/>
    <w:tmpl w:val="3E6E4DA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80D34AF"/>
    <w:multiLevelType w:val="hybridMultilevel"/>
    <w:tmpl w:val="B2CCBC08"/>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A9D0F4C"/>
    <w:multiLevelType w:val="hybridMultilevel"/>
    <w:tmpl w:val="14FC538C"/>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BD94F4A"/>
    <w:multiLevelType w:val="hybridMultilevel"/>
    <w:tmpl w:val="0D54AF08"/>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D3C181C"/>
    <w:multiLevelType w:val="hybridMultilevel"/>
    <w:tmpl w:val="1B34D8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11E0794"/>
    <w:multiLevelType w:val="hybridMultilevel"/>
    <w:tmpl w:val="A88447B4"/>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63A655B"/>
    <w:multiLevelType w:val="hybridMultilevel"/>
    <w:tmpl w:val="C8DEA8AA"/>
    <w:lvl w:ilvl="0" w:tplc="F726F9AC">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6600858"/>
    <w:multiLevelType w:val="hybridMultilevel"/>
    <w:tmpl w:val="0D54A58E"/>
    <w:lvl w:ilvl="0" w:tplc="61A8F062">
      <w:start w:val="1"/>
      <w:numFmt w:val="upperLetter"/>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9B61E3E"/>
    <w:multiLevelType w:val="hybridMultilevel"/>
    <w:tmpl w:val="B40843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BB93447"/>
    <w:multiLevelType w:val="hybridMultilevel"/>
    <w:tmpl w:val="6E147760"/>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14D35F2"/>
    <w:multiLevelType w:val="hybridMultilevel"/>
    <w:tmpl w:val="8766E09E"/>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16C5EAA"/>
    <w:multiLevelType w:val="hybridMultilevel"/>
    <w:tmpl w:val="C8D2D1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A0115F8"/>
    <w:multiLevelType w:val="hybridMultilevel"/>
    <w:tmpl w:val="09148AEA"/>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D5B301D"/>
    <w:multiLevelType w:val="hybridMultilevel"/>
    <w:tmpl w:val="1A92A322"/>
    <w:lvl w:ilvl="0" w:tplc="0C0C000F">
      <w:start w:val="1"/>
      <w:numFmt w:val="decimal"/>
      <w:lvlText w:val="%1."/>
      <w:lvlJc w:val="left"/>
      <w:pPr>
        <w:ind w:left="765" w:hanging="360"/>
      </w:pPr>
    </w:lvl>
    <w:lvl w:ilvl="1" w:tplc="0C0C0019" w:tentative="1">
      <w:start w:val="1"/>
      <w:numFmt w:val="lowerLetter"/>
      <w:lvlText w:val="%2."/>
      <w:lvlJc w:val="left"/>
      <w:pPr>
        <w:ind w:left="1485" w:hanging="360"/>
      </w:pPr>
    </w:lvl>
    <w:lvl w:ilvl="2" w:tplc="0C0C001B" w:tentative="1">
      <w:start w:val="1"/>
      <w:numFmt w:val="lowerRoman"/>
      <w:lvlText w:val="%3."/>
      <w:lvlJc w:val="right"/>
      <w:pPr>
        <w:ind w:left="2205" w:hanging="180"/>
      </w:pPr>
    </w:lvl>
    <w:lvl w:ilvl="3" w:tplc="0C0C000F" w:tentative="1">
      <w:start w:val="1"/>
      <w:numFmt w:val="decimal"/>
      <w:lvlText w:val="%4."/>
      <w:lvlJc w:val="left"/>
      <w:pPr>
        <w:ind w:left="2925" w:hanging="360"/>
      </w:pPr>
    </w:lvl>
    <w:lvl w:ilvl="4" w:tplc="0C0C0019" w:tentative="1">
      <w:start w:val="1"/>
      <w:numFmt w:val="lowerLetter"/>
      <w:lvlText w:val="%5."/>
      <w:lvlJc w:val="left"/>
      <w:pPr>
        <w:ind w:left="3645" w:hanging="360"/>
      </w:pPr>
    </w:lvl>
    <w:lvl w:ilvl="5" w:tplc="0C0C001B" w:tentative="1">
      <w:start w:val="1"/>
      <w:numFmt w:val="lowerRoman"/>
      <w:lvlText w:val="%6."/>
      <w:lvlJc w:val="right"/>
      <w:pPr>
        <w:ind w:left="4365" w:hanging="180"/>
      </w:pPr>
    </w:lvl>
    <w:lvl w:ilvl="6" w:tplc="0C0C000F" w:tentative="1">
      <w:start w:val="1"/>
      <w:numFmt w:val="decimal"/>
      <w:lvlText w:val="%7."/>
      <w:lvlJc w:val="left"/>
      <w:pPr>
        <w:ind w:left="5085" w:hanging="360"/>
      </w:pPr>
    </w:lvl>
    <w:lvl w:ilvl="7" w:tplc="0C0C0019" w:tentative="1">
      <w:start w:val="1"/>
      <w:numFmt w:val="lowerLetter"/>
      <w:lvlText w:val="%8."/>
      <w:lvlJc w:val="left"/>
      <w:pPr>
        <w:ind w:left="5805" w:hanging="360"/>
      </w:pPr>
    </w:lvl>
    <w:lvl w:ilvl="8" w:tplc="0C0C001B" w:tentative="1">
      <w:start w:val="1"/>
      <w:numFmt w:val="lowerRoman"/>
      <w:lvlText w:val="%9."/>
      <w:lvlJc w:val="right"/>
      <w:pPr>
        <w:ind w:left="6525" w:hanging="180"/>
      </w:pPr>
    </w:lvl>
  </w:abstractNum>
  <w:abstractNum w:abstractNumId="26" w15:restartNumberingAfterBreak="0">
    <w:nsid w:val="6752112F"/>
    <w:multiLevelType w:val="hybridMultilevel"/>
    <w:tmpl w:val="F6B4FEE6"/>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A9F3287"/>
    <w:multiLevelType w:val="hybridMultilevel"/>
    <w:tmpl w:val="3F5407B4"/>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C3336E5"/>
    <w:multiLevelType w:val="hybridMultilevel"/>
    <w:tmpl w:val="5AF0045E"/>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DF40A83"/>
    <w:multiLevelType w:val="hybridMultilevel"/>
    <w:tmpl w:val="789EC66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053700F"/>
    <w:multiLevelType w:val="hybridMultilevel"/>
    <w:tmpl w:val="74C2B7DA"/>
    <w:lvl w:ilvl="0" w:tplc="61A8F062">
      <w:start w:val="1"/>
      <w:numFmt w:val="upperLetter"/>
      <w:lvlText w:val="%1."/>
      <w:lvlJc w:val="left"/>
      <w:pPr>
        <w:ind w:left="36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2324391"/>
    <w:multiLevelType w:val="hybridMultilevel"/>
    <w:tmpl w:val="231078BE"/>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61E3FD5"/>
    <w:multiLevelType w:val="hybridMultilevel"/>
    <w:tmpl w:val="F4E6D93E"/>
    <w:lvl w:ilvl="0" w:tplc="61A8F062">
      <w:start w:val="1"/>
      <w:numFmt w:val="upperLetter"/>
      <w:lvlText w:val="%1."/>
      <w:lvlJc w:val="left"/>
      <w:pPr>
        <w:ind w:left="366" w:hanging="360"/>
      </w:pPr>
      <w:rPr>
        <w:rFonts w:hint="default"/>
      </w:rPr>
    </w:lvl>
    <w:lvl w:ilvl="1" w:tplc="0C0C0019" w:tentative="1">
      <w:start w:val="1"/>
      <w:numFmt w:val="lowerLetter"/>
      <w:lvlText w:val="%2."/>
      <w:lvlJc w:val="left"/>
      <w:pPr>
        <w:ind w:left="1086" w:hanging="360"/>
      </w:pPr>
    </w:lvl>
    <w:lvl w:ilvl="2" w:tplc="0C0C001B" w:tentative="1">
      <w:start w:val="1"/>
      <w:numFmt w:val="lowerRoman"/>
      <w:lvlText w:val="%3."/>
      <w:lvlJc w:val="right"/>
      <w:pPr>
        <w:ind w:left="1806" w:hanging="180"/>
      </w:pPr>
    </w:lvl>
    <w:lvl w:ilvl="3" w:tplc="0C0C000F" w:tentative="1">
      <w:start w:val="1"/>
      <w:numFmt w:val="decimal"/>
      <w:lvlText w:val="%4."/>
      <w:lvlJc w:val="left"/>
      <w:pPr>
        <w:ind w:left="2526" w:hanging="360"/>
      </w:pPr>
    </w:lvl>
    <w:lvl w:ilvl="4" w:tplc="0C0C0019" w:tentative="1">
      <w:start w:val="1"/>
      <w:numFmt w:val="lowerLetter"/>
      <w:lvlText w:val="%5."/>
      <w:lvlJc w:val="left"/>
      <w:pPr>
        <w:ind w:left="3246" w:hanging="360"/>
      </w:pPr>
    </w:lvl>
    <w:lvl w:ilvl="5" w:tplc="0C0C001B" w:tentative="1">
      <w:start w:val="1"/>
      <w:numFmt w:val="lowerRoman"/>
      <w:lvlText w:val="%6."/>
      <w:lvlJc w:val="right"/>
      <w:pPr>
        <w:ind w:left="3966" w:hanging="180"/>
      </w:pPr>
    </w:lvl>
    <w:lvl w:ilvl="6" w:tplc="0C0C000F" w:tentative="1">
      <w:start w:val="1"/>
      <w:numFmt w:val="decimal"/>
      <w:lvlText w:val="%7."/>
      <w:lvlJc w:val="left"/>
      <w:pPr>
        <w:ind w:left="4686" w:hanging="360"/>
      </w:pPr>
    </w:lvl>
    <w:lvl w:ilvl="7" w:tplc="0C0C0019" w:tentative="1">
      <w:start w:val="1"/>
      <w:numFmt w:val="lowerLetter"/>
      <w:lvlText w:val="%8."/>
      <w:lvlJc w:val="left"/>
      <w:pPr>
        <w:ind w:left="5406" w:hanging="360"/>
      </w:pPr>
    </w:lvl>
    <w:lvl w:ilvl="8" w:tplc="0C0C001B" w:tentative="1">
      <w:start w:val="1"/>
      <w:numFmt w:val="lowerRoman"/>
      <w:lvlText w:val="%9."/>
      <w:lvlJc w:val="right"/>
      <w:pPr>
        <w:ind w:left="6126" w:hanging="180"/>
      </w:pPr>
    </w:lvl>
  </w:abstractNum>
  <w:abstractNum w:abstractNumId="33" w15:restartNumberingAfterBreak="0">
    <w:nsid w:val="7BFF2BCA"/>
    <w:multiLevelType w:val="hybridMultilevel"/>
    <w:tmpl w:val="5AD40F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D631BBE"/>
    <w:multiLevelType w:val="hybridMultilevel"/>
    <w:tmpl w:val="B1E8BC0C"/>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DF612EC"/>
    <w:multiLevelType w:val="hybridMultilevel"/>
    <w:tmpl w:val="58E2320C"/>
    <w:lvl w:ilvl="0" w:tplc="61A8F0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8"/>
  </w:num>
  <w:num w:numId="2">
    <w:abstractNumId w:val="10"/>
  </w:num>
  <w:num w:numId="3">
    <w:abstractNumId w:val="3"/>
  </w:num>
  <w:num w:numId="4">
    <w:abstractNumId w:val="32"/>
  </w:num>
  <w:num w:numId="5">
    <w:abstractNumId w:val="30"/>
  </w:num>
  <w:num w:numId="6">
    <w:abstractNumId w:val="1"/>
  </w:num>
  <w:num w:numId="7">
    <w:abstractNumId w:val="7"/>
  </w:num>
  <w:num w:numId="8">
    <w:abstractNumId w:val="27"/>
  </w:num>
  <w:num w:numId="9">
    <w:abstractNumId w:val="6"/>
  </w:num>
  <w:num w:numId="10">
    <w:abstractNumId w:val="24"/>
  </w:num>
  <w:num w:numId="11">
    <w:abstractNumId w:val="26"/>
  </w:num>
  <w:num w:numId="12">
    <w:abstractNumId w:val="14"/>
  </w:num>
  <w:num w:numId="13">
    <w:abstractNumId w:val="5"/>
  </w:num>
  <w:num w:numId="14">
    <w:abstractNumId w:val="34"/>
  </w:num>
  <w:num w:numId="15">
    <w:abstractNumId w:val="9"/>
  </w:num>
  <w:num w:numId="16">
    <w:abstractNumId w:val="19"/>
  </w:num>
  <w:num w:numId="17">
    <w:abstractNumId w:val="35"/>
  </w:num>
  <w:num w:numId="18">
    <w:abstractNumId w:val="15"/>
  </w:num>
  <w:num w:numId="19">
    <w:abstractNumId w:val="28"/>
  </w:num>
  <w:num w:numId="20">
    <w:abstractNumId w:val="13"/>
  </w:num>
  <w:num w:numId="21">
    <w:abstractNumId w:val="21"/>
  </w:num>
  <w:num w:numId="22">
    <w:abstractNumId w:val="22"/>
  </w:num>
  <w:num w:numId="23">
    <w:abstractNumId w:val="31"/>
  </w:num>
  <w:num w:numId="24">
    <w:abstractNumId w:val="17"/>
  </w:num>
  <w:num w:numId="25">
    <w:abstractNumId w:val="0"/>
  </w:num>
  <w:num w:numId="26">
    <w:abstractNumId w:val="29"/>
  </w:num>
  <w:num w:numId="27">
    <w:abstractNumId w:val="12"/>
  </w:num>
  <w:num w:numId="28">
    <w:abstractNumId w:val="23"/>
  </w:num>
  <w:num w:numId="29">
    <w:abstractNumId w:val="4"/>
  </w:num>
  <w:num w:numId="30">
    <w:abstractNumId w:val="11"/>
  </w:num>
  <w:num w:numId="31">
    <w:abstractNumId w:val="2"/>
  </w:num>
  <w:num w:numId="32">
    <w:abstractNumId w:val="8"/>
  </w:num>
  <w:num w:numId="33">
    <w:abstractNumId w:val="16"/>
  </w:num>
  <w:num w:numId="34">
    <w:abstractNumId w:val="25"/>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95"/>
    <w:rsid w:val="00002E03"/>
    <w:rsid w:val="000448C4"/>
    <w:rsid w:val="000655A8"/>
    <w:rsid w:val="00082B24"/>
    <w:rsid w:val="000936AA"/>
    <w:rsid w:val="000B2180"/>
    <w:rsid w:val="00102CA7"/>
    <w:rsid w:val="00124C80"/>
    <w:rsid w:val="00136044"/>
    <w:rsid w:val="001622BD"/>
    <w:rsid w:val="001964D4"/>
    <w:rsid w:val="001B1AE0"/>
    <w:rsid w:val="001C16BE"/>
    <w:rsid w:val="001D4956"/>
    <w:rsid w:val="001D5413"/>
    <w:rsid w:val="001E27B3"/>
    <w:rsid w:val="001F2986"/>
    <w:rsid w:val="00233A32"/>
    <w:rsid w:val="00241A66"/>
    <w:rsid w:val="00256EFC"/>
    <w:rsid w:val="0029455C"/>
    <w:rsid w:val="002A5EBF"/>
    <w:rsid w:val="002C1E73"/>
    <w:rsid w:val="002E7865"/>
    <w:rsid w:val="003234C8"/>
    <w:rsid w:val="00361F72"/>
    <w:rsid w:val="003C7174"/>
    <w:rsid w:val="003D7E1C"/>
    <w:rsid w:val="003E61DF"/>
    <w:rsid w:val="003F0E52"/>
    <w:rsid w:val="003F1FB7"/>
    <w:rsid w:val="003F263E"/>
    <w:rsid w:val="003F5473"/>
    <w:rsid w:val="00403131"/>
    <w:rsid w:val="00407D28"/>
    <w:rsid w:val="004421E3"/>
    <w:rsid w:val="00487525"/>
    <w:rsid w:val="00487EF8"/>
    <w:rsid w:val="004B1E09"/>
    <w:rsid w:val="004D0A54"/>
    <w:rsid w:val="004D27F3"/>
    <w:rsid w:val="004E654F"/>
    <w:rsid w:val="004F6068"/>
    <w:rsid w:val="0050546D"/>
    <w:rsid w:val="005678D0"/>
    <w:rsid w:val="00580094"/>
    <w:rsid w:val="00581A46"/>
    <w:rsid w:val="005D1B5B"/>
    <w:rsid w:val="0061031F"/>
    <w:rsid w:val="00616FF1"/>
    <w:rsid w:val="006320F6"/>
    <w:rsid w:val="00654132"/>
    <w:rsid w:val="00666D99"/>
    <w:rsid w:val="00674BB3"/>
    <w:rsid w:val="0067540E"/>
    <w:rsid w:val="006A3233"/>
    <w:rsid w:val="006B2695"/>
    <w:rsid w:val="006B782F"/>
    <w:rsid w:val="006C3775"/>
    <w:rsid w:val="006C41E8"/>
    <w:rsid w:val="006D50EB"/>
    <w:rsid w:val="007106A1"/>
    <w:rsid w:val="0071135E"/>
    <w:rsid w:val="00727728"/>
    <w:rsid w:val="00730C73"/>
    <w:rsid w:val="00741508"/>
    <w:rsid w:val="00741E8A"/>
    <w:rsid w:val="007F5AFB"/>
    <w:rsid w:val="0083065E"/>
    <w:rsid w:val="00887080"/>
    <w:rsid w:val="008912B4"/>
    <w:rsid w:val="008A6C1B"/>
    <w:rsid w:val="008B6EE7"/>
    <w:rsid w:val="008F044C"/>
    <w:rsid w:val="008F0747"/>
    <w:rsid w:val="008F54CC"/>
    <w:rsid w:val="0091711B"/>
    <w:rsid w:val="009228C0"/>
    <w:rsid w:val="00946AFC"/>
    <w:rsid w:val="0095281C"/>
    <w:rsid w:val="009661F4"/>
    <w:rsid w:val="009668D9"/>
    <w:rsid w:val="00980B89"/>
    <w:rsid w:val="009C7F3A"/>
    <w:rsid w:val="009D17C2"/>
    <w:rsid w:val="009D52D4"/>
    <w:rsid w:val="00A04435"/>
    <w:rsid w:val="00A07421"/>
    <w:rsid w:val="00A111A5"/>
    <w:rsid w:val="00A11D33"/>
    <w:rsid w:val="00A11D85"/>
    <w:rsid w:val="00A12044"/>
    <w:rsid w:val="00A46AAD"/>
    <w:rsid w:val="00A704E7"/>
    <w:rsid w:val="00A748A6"/>
    <w:rsid w:val="00A80971"/>
    <w:rsid w:val="00AC2C7D"/>
    <w:rsid w:val="00AC2E9B"/>
    <w:rsid w:val="00AC4B3C"/>
    <w:rsid w:val="00AC64C4"/>
    <w:rsid w:val="00AF6C8F"/>
    <w:rsid w:val="00AF7D8F"/>
    <w:rsid w:val="00B30DF4"/>
    <w:rsid w:val="00B323E9"/>
    <w:rsid w:val="00B639B8"/>
    <w:rsid w:val="00B8325F"/>
    <w:rsid w:val="00BC2030"/>
    <w:rsid w:val="00BD5E99"/>
    <w:rsid w:val="00BE351D"/>
    <w:rsid w:val="00C111D6"/>
    <w:rsid w:val="00C149D7"/>
    <w:rsid w:val="00C1729F"/>
    <w:rsid w:val="00C220F0"/>
    <w:rsid w:val="00C5382C"/>
    <w:rsid w:val="00C66F25"/>
    <w:rsid w:val="00C82C73"/>
    <w:rsid w:val="00C9331A"/>
    <w:rsid w:val="00C9688E"/>
    <w:rsid w:val="00CA20B0"/>
    <w:rsid w:val="00CC7E41"/>
    <w:rsid w:val="00CD7D9E"/>
    <w:rsid w:val="00CE5788"/>
    <w:rsid w:val="00CE6A0A"/>
    <w:rsid w:val="00CF3680"/>
    <w:rsid w:val="00D12102"/>
    <w:rsid w:val="00D4425C"/>
    <w:rsid w:val="00D6519F"/>
    <w:rsid w:val="00D97B9F"/>
    <w:rsid w:val="00D97EBC"/>
    <w:rsid w:val="00DB5327"/>
    <w:rsid w:val="00E71558"/>
    <w:rsid w:val="00E77939"/>
    <w:rsid w:val="00E92F00"/>
    <w:rsid w:val="00EE158F"/>
    <w:rsid w:val="00F03E83"/>
    <w:rsid w:val="00F20C78"/>
    <w:rsid w:val="00F410DB"/>
    <w:rsid w:val="00F41A1F"/>
    <w:rsid w:val="00F759FC"/>
    <w:rsid w:val="00F822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337D6-4D3B-409C-A84D-B0459AEB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695"/>
    <w:pPr>
      <w:spacing w:after="200" w:line="276" w:lineRule="auto"/>
      <w:ind w:left="703" w:hanging="703"/>
    </w:pPr>
  </w:style>
  <w:style w:type="paragraph" w:styleId="Titre1">
    <w:name w:val="heading 1"/>
    <w:basedOn w:val="Normal"/>
    <w:next w:val="Normal"/>
    <w:link w:val="Titre1Car"/>
    <w:uiPriority w:val="9"/>
    <w:qFormat/>
    <w:rsid w:val="001B1A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B1A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B1A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B2695"/>
    <w:pPr>
      <w:spacing w:after="0" w:line="240" w:lineRule="auto"/>
    </w:pPr>
    <w:rPr>
      <w:rFonts w:ascii="Calibri" w:eastAsia="Calibri" w:hAnsi="Calibri" w:cs="Times New Roman"/>
      <w:lang w:val="fr-FR"/>
    </w:rPr>
  </w:style>
  <w:style w:type="character" w:customStyle="1" w:styleId="SansinterligneCar">
    <w:name w:val="Sans interligne Car"/>
    <w:link w:val="Sansinterligne"/>
    <w:uiPriority w:val="1"/>
    <w:rsid w:val="006B2695"/>
    <w:rPr>
      <w:rFonts w:ascii="Calibri" w:eastAsia="Calibri" w:hAnsi="Calibri" w:cs="Times New Roman"/>
      <w:lang w:val="fr-FR"/>
    </w:rPr>
  </w:style>
  <w:style w:type="character" w:customStyle="1" w:styleId="Titre1Car">
    <w:name w:val="Titre 1 Car"/>
    <w:basedOn w:val="Policepardfaut"/>
    <w:link w:val="Titre1"/>
    <w:uiPriority w:val="9"/>
    <w:rsid w:val="001B1AE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B1AE0"/>
    <w:rPr>
      <w:rFonts w:asciiTheme="majorHAnsi" w:eastAsiaTheme="majorEastAsia" w:hAnsiTheme="majorHAnsi" w:cstheme="majorBidi"/>
      <w:color w:val="2E74B5" w:themeColor="accent1" w:themeShade="BF"/>
      <w:sz w:val="26"/>
      <w:szCs w:val="26"/>
    </w:rPr>
  </w:style>
  <w:style w:type="character" w:styleId="Emphaseintense">
    <w:name w:val="Intense Emphasis"/>
    <w:basedOn w:val="Policepardfaut"/>
    <w:uiPriority w:val="21"/>
    <w:qFormat/>
    <w:rsid w:val="001B1AE0"/>
    <w:rPr>
      <w:i/>
      <w:iCs/>
      <w:color w:val="5B9BD5" w:themeColor="accent1"/>
    </w:rPr>
  </w:style>
  <w:style w:type="paragraph" w:styleId="Titre">
    <w:name w:val="Title"/>
    <w:basedOn w:val="Normal"/>
    <w:next w:val="Normal"/>
    <w:link w:val="TitreCar"/>
    <w:uiPriority w:val="10"/>
    <w:qFormat/>
    <w:rsid w:val="001B1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1AE0"/>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1B1AE0"/>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A46AAD"/>
    <w:pPr>
      <w:ind w:left="720"/>
      <w:contextualSpacing/>
    </w:pPr>
  </w:style>
  <w:style w:type="character" w:styleId="Lienhypertexte">
    <w:name w:val="Hyperlink"/>
    <w:basedOn w:val="Policepardfaut"/>
    <w:uiPriority w:val="99"/>
    <w:unhideWhenUsed/>
    <w:rsid w:val="009668D9"/>
    <w:rPr>
      <w:color w:val="0563C1" w:themeColor="hyperlink"/>
      <w:u w:val="single"/>
    </w:rPr>
  </w:style>
  <w:style w:type="paragraph" w:styleId="En-ttedetabledesmatires">
    <w:name w:val="TOC Heading"/>
    <w:basedOn w:val="Titre1"/>
    <w:next w:val="Normal"/>
    <w:uiPriority w:val="39"/>
    <w:unhideWhenUsed/>
    <w:qFormat/>
    <w:rsid w:val="00002E03"/>
    <w:pPr>
      <w:spacing w:line="259" w:lineRule="auto"/>
      <w:ind w:left="0" w:firstLine="0"/>
      <w:outlineLvl w:val="9"/>
    </w:pPr>
    <w:rPr>
      <w:lang w:eastAsia="fr-CA"/>
    </w:rPr>
  </w:style>
  <w:style w:type="paragraph" w:styleId="TM1">
    <w:name w:val="toc 1"/>
    <w:basedOn w:val="Normal"/>
    <w:next w:val="Normal"/>
    <w:autoRedefine/>
    <w:uiPriority w:val="39"/>
    <w:unhideWhenUsed/>
    <w:rsid w:val="00002E03"/>
    <w:pPr>
      <w:tabs>
        <w:tab w:val="right" w:leader="dot" w:pos="8445"/>
      </w:tabs>
      <w:spacing w:after="100"/>
      <w:ind w:left="0" w:firstLine="0"/>
    </w:pPr>
  </w:style>
  <w:style w:type="paragraph" w:styleId="En-tte">
    <w:name w:val="header"/>
    <w:basedOn w:val="Normal"/>
    <w:link w:val="En-tteCar"/>
    <w:uiPriority w:val="99"/>
    <w:unhideWhenUsed/>
    <w:rsid w:val="00654132"/>
    <w:pPr>
      <w:tabs>
        <w:tab w:val="center" w:pos="4320"/>
        <w:tab w:val="right" w:pos="8640"/>
      </w:tabs>
      <w:spacing w:after="0" w:line="240" w:lineRule="auto"/>
    </w:pPr>
  </w:style>
  <w:style w:type="character" w:customStyle="1" w:styleId="En-tteCar">
    <w:name w:val="En-tête Car"/>
    <w:basedOn w:val="Policepardfaut"/>
    <w:link w:val="En-tte"/>
    <w:uiPriority w:val="99"/>
    <w:rsid w:val="00654132"/>
  </w:style>
  <w:style w:type="paragraph" w:styleId="Pieddepage">
    <w:name w:val="footer"/>
    <w:basedOn w:val="Normal"/>
    <w:link w:val="PieddepageCar"/>
    <w:uiPriority w:val="99"/>
    <w:unhideWhenUsed/>
    <w:rsid w:val="0065413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54132"/>
  </w:style>
  <w:style w:type="table" w:styleId="Grilledutableau">
    <w:name w:val="Table Grid"/>
    <w:basedOn w:val="TableauNormal"/>
    <w:uiPriority w:val="39"/>
    <w:rsid w:val="0061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5A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5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CE13-412C-463B-A31A-ACC09BDC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4295</TotalTime>
  <Pages>10</Pages>
  <Words>1153</Words>
  <Characters>6344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Gagnon</dc:creator>
  <cp:keywords/>
  <dc:description/>
  <cp:lastModifiedBy>jgagnon</cp:lastModifiedBy>
  <cp:revision>10</cp:revision>
  <cp:lastPrinted>2016-05-19T17:57:00Z</cp:lastPrinted>
  <dcterms:created xsi:type="dcterms:W3CDTF">2015-02-26T14:35:00Z</dcterms:created>
  <dcterms:modified xsi:type="dcterms:W3CDTF">2017-10-31T19:50:00Z</dcterms:modified>
</cp:coreProperties>
</file>