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CB" w:rsidRPr="00F8632F" w:rsidRDefault="00F8632F" w:rsidP="00F8632F">
      <w:pPr>
        <w:pStyle w:val="Titre"/>
        <w:jc w:val="center"/>
        <w:rPr>
          <w:rFonts w:ascii="Impact" w:hAnsi="Impact"/>
        </w:rPr>
      </w:pPr>
      <w:bookmarkStart w:id="0" w:name="_GoBack"/>
      <w:r w:rsidRPr="00F8632F">
        <w:rPr>
          <w:rFonts w:ascii="Impact" w:hAnsi="Impact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282F814" wp14:editId="4573D76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9600" cy="1692000"/>
            <wp:effectExtent l="0" t="0" r="0" b="3810"/>
            <wp:wrapThrough wrapText="bothSides">
              <wp:wrapPolygon edited="0">
                <wp:start x="0" y="0"/>
                <wp:lineTo x="0" y="21405"/>
                <wp:lineTo x="21528" y="21405"/>
                <wp:lineTo x="2152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_entete_interne_t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6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32F">
        <w:rPr>
          <w:rFonts w:ascii="Impact" w:hAnsi="Impact"/>
        </w:rPr>
        <w:t xml:space="preserve">Conservation des données relatives aux traces </w:t>
      </w:r>
      <w:r w:rsidR="00937DDA">
        <w:rPr>
          <w:rFonts w:ascii="Impact" w:hAnsi="Impact"/>
        </w:rPr>
        <w:t xml:space="preserve">d’activités </w:t>
      </w:r>
      <w:r w:rsidRPr="00F8632F">
        <w:rPr>
          <w:rFonts w:ascii="Impact" w:hAnsi="Impact"/>
        </w:rPr>
        <w:t>dans Moodle</w:t>
      </w:r>
    </w:p>
    <w:bookmarkEnd w:id="0"/>
    <w:p w:rsidR="00F8632F" w:rsidRDefault="00F8632F"/>
    <w:p w:rsidR="00C7788A" w:rsidRPr="00C7788A" w:rsidRDefault="00C7788A" w:rsidP="00F8236D">
      <w:pPr>
        <w:spacing w:before="120" w:after="0"/>
        <w:jc w:val="both"/>
        <w:rPr>
          <w:color w:val="1F497D"/>
        </w:rPr>
      </w:pPr>
      <w:r w:rsidRPr="00C7788A">
        <w:rPr>
          <w:bCs/>
          <w:color w:val="1F497D"/>
        </w:rPr>
        <w:t>Les traces d’activité</w:t>
      </w:r>
      <w:r w:rsidR="00937DDA">
        <w:rPr>
          <w:bCs/>
          <w:color w:val="1F497D"/>
        </w:rPr>
        <w:t>s</w:t>
      </w:r>
      <w:r w:rsidRPr="00C7788A">
        <w:rPr>
          <w:bCs/>
          <w:color w:val="1F497D"/>
        </w:rPr>
        <w:t xml:space="preserve"> permettent de </w:t>
      </w:r>
      <w:r w:rsidR="009B4760">
        <w:rPr>
          <w:bCs/>
          <w:color w:val="1F497D"/>
        </w:rPr>
        <w:t xml:space="preserve">comprendre et </w:t>
      </w:r>
      <w:r>
        <w:rPr>
          <w:bCs/>
          <w:color w:val="1F497D"/>
        </w:rPr>
        <w:t>d’optimiser l’apprentissage</w:t>
      </w:r>
      <w:r w:rsidR="00937DDA">
        <w:rPr>
          <w:bCs/>
          <w:color w:val="1F497D"/>
        </w:rPr>
        <w:t xml:space="preserve">, </w:t>
      </w:r>
      <w:r w:rsidR="009B4760">
        <w:rPr>
          <w:bCs/>
          <w:color w:val="1F497D"/>
        </w:rPr>
        <w:t>car il devient possible de</w:t>
      </w:r>
      <w:r>
        <w:rPr>
          <w:bCs/>
          <w:color w:val="1F497D"/>
        </w:rPr>
        <w:t xml:space="preserve"> </w:t>
      </w:r>
      <w:r w:rsidRPr="00C7788A">
        <w:rPr>
          <w:bCs/>
          <w:color w:val="1F497D"/>
        </w:rPr>
        <w:t xml:space="preserve">déterminer avec beaucoup de précision si un étudiant va réussir, échouer ou abandonner son cours </w:t>
      </w:r>
      <w:r w:rsidR="009B4760">
        <w:rPr>
          <w:bCs/>
          <w:color w:val="1F497D"/>
        </w:rPr>
        <w:t>et donc de pouvoir intervenir au bon moment dans son cheminement scolaire afin d’appuyer la réussite</w:t>
      </w:r>
      <w:r w:rsidR="00F8236D">
        <w:rPr>
          <w:bCs/>
          <w:color w:val="1F497D"/>
        </w:rPr>
        <w:t xml:space="preserve"> de</w:t>
      </w:r>
      <w:r w:rsidR="009B4760">
        <w:rPr>
          <w:bCs/>
          <w:color w:val="1F497D"/>
        </w:rPr>
        <w:t xml:space="preserve">s étudiants </w:t>
      </w:r>
      <w:r w:rsidRPr="00C7788A">
        <w:rPr>
          <w:bCs/>
          <w:color w:val="1F497D"/>
        </w:rPr>
        <w:t>(</w:t>
      </w:r>
      <w:proofErr w:type="spellStart"/>
      <w:r w:rsidR="00F8236D">
        <w:rPr>
          <w:bCs/>
          <w:color w:val="1F497D"/>
        </w:rPr>
        <w:t>Gasevic</w:t>
      </w:r>
      <w:proofErr w:type="spellEnd"/>
      <w:r w:rsidR="00F8236D">
        <w:rPr>
          <w:bCs/>
          <w:color w:val="1F497D"/>
        </w:rPr>
        <w:t xml:space="preserve">, Siemens et Rose, 2017; </w:t>
      </w:r>
      <w:proofErr w:type="spellStart"/>
      <w:r w:rsidRPr="00F8236D">
        <w:rPr>
          <w:bCs/>
          <w:color w:val="1F497D"/>
        </w:rPr>
        <w:t>Macfayden</w:t>
      </w:r>
      <w:proofErr w:type="spellEnd"/>
      <w:r w:rsidRPr="00F8236D">
        <w:rPr>
          <w:bCs/>
          <w:color w:val="1F497D"/>
        </w:rPr>
        <w:t xml:space="preserve"> &amp; Dawson, 2010</w:t>
      </w:r>
      <w:r w:rsidR="00F8236D">
        <w:rPr>
          <w:bCs/>
          <w:color w:val="1F497D"/>
        </w:rPr>
        <w:t xml:space="preserve">; Martin, </w:t>
      </w:r>
      <w:proofErr w:type="spellStart"/>
      <w:r w:rsidR="00F8236D">
        <w:rPr>
          <w:bCs/>
          <w:color w:val="1F497D"/>
        </w:rPr>
        <w:t>Nd</w:t>
      </w:r>
      <w:r w:rsidR="00986D45">
        <w:rPr>
          <w:bCs/>
          <w:color w:val="1F497D"/>
        </w:rPr>
        <w:t>oye</w:t>
      </w:r>
      <w:proofErr w:type="spellEnd"/>
      <w:r w:rsidR="00986D45">
        <w:rPr>
          <w:bCs/>
          <w:color w:val="1F497D"/>
        </w:rPr>
        <w:t xml:space="preserve"> et Wilkins, 2016</w:t>
      </w:r>
      <w:r w:rsidRPr="00C7788A">
        <w:rPr>
          <w:bCs/>
          <w:color w:val="1F497D"/>
        </w:rPr>
        <w:t>)</w:t>
      </w:r>
      <w:r w:rsidRPr="00C7788A">
        <w:rPr>
          <w:color w:val="1F497D"/>
        </w:rPr>
        <w:t xml:space="preserve">. </w:t>
      </w:r>
    </w:p>
    <w:p w:rsidR="00C7788A" w:rsidRDefault="00C7788A" w:rsidP="00F8236D">
      <w:pPr>
        <w:spacing w:before="120" w:after="0"/>
        <w:jc w:val="both"/>
        <w:rPr>
          <w:color w:val="1F497D"/>
        </w:rPr>
      </w:pPr>
      <w:r w:rsidRPr="00C7788A">
        <w:rPr>
          <w:bCs/>
          <w:color w:val="1F497D"/>
        </w:rPr>
        <w:t xml:space="preserve">Considérant l’importance de ces données pour l’enjeu de réussite et de persévérance de notre plan stratégique, </w:t>
      </w:r>
      <w:r>
        <w:rPr>
          <w:bCs/>
          <w:color w:val="1F497D"/>
        </w:rPr>
        <w:t xml:space="preserve">il devient nécessaire de les conserver pour l’ensemble des inscriptions-cours </w:t>
      </w:r>
      <w:r w:rsidRPr="00C7788A">
        <w:rPr>
          <w:bCs/>
          <w:color w:val="1F497D"/>
        </w:rPr>
        <w:t xml:space="preserve">qui ont transité </w:t>
      </w:r>
      <w:r>
        <w:rPr>
          <w:bCs/>
          <w:color w:val="1F497D"/>
        </w:rPr>
        <w:t xml:space="preserve">au Cégep à distance </w:t>
      </w:r>
      <w:r w:rsidRPr="00C7788A">
        <w:rPr>
          <w:bCs/>
          <w:color w:val="1F497D"/>
        </w:rPr>
        <w:t xml:space="preserve">depuis la mise sur pied de Campus. </w:t>
      </w:r>
    </w:p>
    <w:p w:rsidR="00D91F92" w:rsidRPr="00D91F92" w:rsidRDefault="00C7788A" w:rsidP="00F8236D">
      <w:pPr>
        <w:spacing w:before="120" w:after="0"/>
        <w:jc w:val="both"/>
        <w:rPr>
          <w:color w:val="1F497D"/>
        </w:rPr>
      </w:pPr>
      <w:r>
        <w:rPr>
          <w:color w:val="1F497D"/>
        </w:rPr>
        <w:t>Considérant l</w:t>
      </w:r>
      <w:r w:rsidR="009B4760">
        <w:rPr>
          <w:color w:val="1F497D"/>
        </w:rPr>
        <w:t>’</w:t>
      </w:r>
      <w:r w:rsidR="00D91F92">
        <w:rPr>
          <w:color w:val="1F497D"/>
        </w:rPr>
        <w:t>importance</w:t>
      </w:r>
      <w:r w:rsidR="009B4760">
        <w:rPr>
          <w:color w:val="1F497D"/>
        </w:rPr>
        <w:t xml:space="preserve"> de ces données pour la recherche</w:t>
      </w:r>
      <w:r w:rsidR="00D91F92">
        <w:rPr>
          <w:color w:val="1F497D"/>
        </w:rPr>
        <w:t xml:space="preserve">, il est aussi nécessaire de les conserver. En effet, la politique sur l’intégrité en recherche (Collège de </w:t>
      </w:r>
      <w:r w:rsidR="00F8236D">
        <w:rPr>
          <w:color w:val="1F497D"/>
        </w:rPr>
        <w:t>Rosemont</w:t>
      </w:r>
      <w:r w:rsidR="00D91F92">
        <w:rPr>
          <w:color w:val="1F497D"/>
        </w:rPr>
        <w:t>, 2016, p. 11) stipule que «</w:t>
      </w:r>
      <w:r w:rsidR="00D91F92" w:rsidRPr="00D91F92">
        <w:rPr>
          <w:color w:val="1F497D"/>
        </w:rPr>
        <w:t>Les données et les informations ayant servi à la recherche doivent être conservées par les chercheurs pendant une période d’au moins cinq (5) ans après la diffusion des résultats</w:t>
      </w:r>
      <w:r w:rsidR="00D91F92">
        <w:rPr>
          <w:color w:val="1F497D"/>
        </w:rPr>
        <w:t>»</w:t>
      </w:r>
      <w:r w:rsidR="00D91F92" w:rsidRPr="00D91F92">
        <w:rPr>
          <w:color w:val="1F497D"/>
        </w:rPr>
        <w:t xml:space="preserve">. </w:t>
      </w:r>
    </w:p>
    <w:p w:rsidR="00D91F92" w:rsidRPr="00D91F92" w:rsidRDefault="009B4760" w:rsidP="00F8236D">
      <w:pPr>
        <w:spacing w:before="120" w:after="0" w:line="240" w:lineRule="auto"/>
        <w:jc w:val="both"/>
        <w:rPr>
          <w:rFonts w:eastAsia="Times New Roman" w:cs="Times New Roman"/>
          <w:lang w:eastAsia="fr-CA"/>
        </w:rPr>
      </w:pPr>
      <w:r w:rsidRPr="00D91F92">
        <w:rPr>
          <w:color w:val="1F497D"/>
        </w:rPr>
        <w:t xml:space="preserve">À titre d’exemple dans le domaine du </w:t>
      </w:r>
      <w:proofErr w:type="spellStart"/>
      <w:r w:rsidRPr="00D91F92">
        <w:rPr>
          <w:i/>
          <w:color w:val="1F497D"/>
        </w:rPr>
        <w:t>learning</w:t>
      </w:r>
      <w:proofErr w:type="spellEnd"/>
      <w:r w:rsidRPr="00D91F92">
        <w:rPr>
          <w:i/>
          <w:color w:val="1F497D"/>
        </w:rPr>
        <w:t xml:space="preserve"> </w:t>
      </w:r>
      <w:proofErr w:type="spellStart"/>
      <w:r w:rsidRPr="00D91F92">
        <w:rPr>
          <w:i/>
          <w:color w:val="1F497D"/>
        </w:rPr>
        <w:t>analytics</w:t>
      </w:r>
      <w:proofErr w:type="spellEnd"/>
      <w:r w:rsidRPr="00D91F92">
        <w:rPr>
          <w:i/>
          <w:color w:val="1F497D"/>
        </w:rPr>
        <w:t>,</w:t>
      </w:r>
      <w:r w:rsidRPr="00D91F92">
        <w:rPr>
          <w:color w:val="1F497D"/>
        </w:rPr>
        <w:t xml:space="preserve"> </w:t>
      </w:r>
      <w:r w:rsidR="00C7788A" w:rsidRPr="00D91F92">
        <w:rPr>
          <w:color w:val="1F497D"/>
        </w:rPr>
        <w:t xml:space="preserve">l’Université Laval </w:t>
      </w:r>
      <w:r w:rsidRPr="00D91F92">
        <w:rPr>
          <w:color w:val="1F497D"/>
        </w:rPr>
        <w:t>possède déjà un système d’appui à la réussite «</w:t>
      </w:r>
      <w:hyperlink r:id="rId8" w:history="1">
        <w:r w:rsidRPr="00D91F92">
          <w:rPr>
            <w:rStyle w:val="Lienhypertexte"/>
          </w:rPr>
          <w:t>Ma réussite</w:t>
        </w:r>
      </w:hyperlink>
      <w:r w:rsidRPr="00D91F92">
        <w:rPr>
          <w:color w:val="1F497D"/>
        </w:rPr>
        <w:t>»</w:t>
      </w:r>
      <w:r w:rsidR="00D91F92">
        <w:rPr>
          <w:color w:val="1F497D"/>
        </w:rPr>
        <w:t xml:space="preserve"> depuis 2014. Au niveau collégial, le Cégep de Limoilou a lancé l’outil </w:t>
      </w:r>
      <w:hyperlink r:id="rId9" w:history="1">
        <w:r w:rsidR="00D91F92" w:rsidRPr="00986D45">
          <w:rPr>
            <w:rStyle w:val="Lienhypertexte"/>
          </w:rPr>
          <w:t>CPA+</w:t>
        </w:r>
      </w:hyperlink>
      <w:r w:rsidR="00D91F92">
        <w:rPr>
          <w:color w:val="1F497D"/>
        </w:rPr>
        <w:t xml:space="preserve"> </w:t>
      </w:r>
      <w:r w:rsidR="00986D45">
        <w:rPr>
          <w:color w:val="1F497D"/>
        </w:rPr>
        <w:t>(Connaître pour accompagner plus) qui, d’ici 2018, sera implant</w:t>
      </w:r>
      <w:r w:rsidR="00937DDA">
        <w:rPr>
          <w:color w:val="1F497D"/>
        </w:rPr>
        <w:t>é</w:t>
      </w:r>
      <w:r w:rsidR="00986D45">
        <w:rPr>
          <w:color w:val="1F497D"/>
        </w:rPr>
        <w:t xml:space="preserve"> dans les 44 programmes et profils du Cégep Limoilou.  </w:t>
      </w:r>
    </w:p>
    <w:p w:rsidR="00F8632F" w:rsidRPr="00F8236D" w:rsidRDefault="00F8236D" w:rsidP="00F8236D">
      <w:pPr>
        <w:spacing w:before="120" w:after="0"/>
        <w:jc w:val="both"/>
        <w:rPr>
          <w:bCs/>
          <w:color w:val="1F497D"/>
        </w:rPr>
      </w:pPr>
      <w:r w:rsidRPr="00F8236D">
        <w:rPr>
          <w:bCs/>
          <w:color w:val="1F497D"/>
        </w:rPr>
        <w:t>Ainsi, il serait souhaitable que ces données puissent être conservées et accessibles pour être analysées.</w:t>
      </w:r>
    </w:p>
    <w:p w:rsidR="00F8236D" w:rsidRPr="00F8236D" w:rsidRDefault="00F8236D" w:rsidP="00F8236D">
      <w:pPr>
        <w:spacing w:before="120" w:after="120"/>
        <w:jc w:val="both"/>
        <w:rPr>
          <w:bCs/>
          <w:color w:val="1F497D"/>
        </w:rPr>
      </w:pPr>
      <w:r w:rsidRPr="00F8236D">
        <w:rPr>
          <w:bCs/>
          <w:color w:val="1F497D"/>
        </w:rPr>
        <w:t>À c</w:t>
      </w:r>
      <w:r>
        <w:rPr>
          <w:bCs/>
          <w:color w:val="1F497D"/>
        </w:rPr>
        <w:t xml:space="preserve">et effet, </w:t>
      </w:r>
      <w:r w:rsidR="00937DDA">
        <w:rPr>
          <w:bCs/>
          <w:color w:val="1F497D"/>
        </w:rPr>
        <w:t>une première démarche</w:t>
      </w:r>
      <w:r>
        <w:rPr>
          <w:bCs/>
          <w:color w:val="1F497D"/>
        </w:rPr>
        <w:t xml:space="preserve"> </w:t>
      </w:r>
      <w:r w:rsidR="00937DDA">
        <w:rPr>
          <w:bCs/>
          <w:color w:val="1F497D"/>
        </w:rPr>
        <w:t>es</w:t>
      </w:r>
      <w:r>
        <w:rPr>
          <w:bCs/>
          <w:color w:val="1F497D"/>
        </w:rPr>
        <w:t>t en cours pour solliciter le consentement des étudiants</w:t>
      </w:r>
      <w:r w:rsidR="00937DDA">
        <w:rPr>
          <w:bCs/>
          <w:color w:val="1F497D"/>
        </w:rPr>
        <w:t>,</w:t>
      </w:r>
      <w:r>
        <w:rPr>
          <w:bCs/>
          <w:color w:val="1F497D"/>
        </w:rPr>
        <w:t xml:space="preserve"> </w:t>
      </w:r>
      <w:r w:rsidRPr="00F8236D">
        <w:rPr>
          <w:bCs/>
          <w:color w:val="1F497D"/>
        </w:rPr>
        <w:t>lors de leur demande d’admission ou de leur inscription au Cégep à distance</w:t>
      </w:r>
      <w:r w:rsidR="00937DDA">
        <w:rPr>
          <w:bCs/>
          <w:color w:val="1F497D"/>
        </w:rPr>
        <w:t>,</w:t>
      </w:r>
      <w:r w:rsidRPr="00F8236D">
        <w:rPr>
          <w:bCs/>
          <w:color w:val="1F497D"/>
        </w:rPr>
        <w:t xml:space="preserve"> afin de permettre l’utilisation des données relatives au cheminement scolaire dans tous les dispositifs d’apprentissage et administratif</w:t>
      </w:r>
      <w:r w:rsidR="00937DDA">
        <w:rPr>
          <w:bCs/>
          <w:color w:val="1F497D"/>
        </w:rPr>
        <w:t>s</w:t>
      </w:r>
      <w:r w:rsidRPr="00F8236D">
        <w:rPr>
          <w:bCs/>
          <w:color w:val="1F497D"/>
        </w:rPr>
        <w:t xml:space="preserve"> utilisés au Cégep à distance (</w:t>
      </w:r>
      <w:proofErr w:type="spellStart"/>
      <w:r w:rsidRPr="00F8236D">
        <w:rPr>
          <w:bCs/>
          <w:color w:val="1F497D"/>
        </w:rPr>
        <w:t>Coba</w:t>
      </w:r>
      <w:proofErr w:type="spellEnd"/>
      <w:r w:rsidRPr="00F8236D">
        <w:rPr>
          <w:bCs/>
          <w:color w:val="1F497D"/>
        </w:rPr>
        <w:t xml:space="preserve">, </w:t>
      </w:r>
      <w:proofErr w:type="spellStart"/>
      <w:r w:rsidRPr="00F8236D">
        <w:rPr>
          <w:bCs/>
          <w:color w:val="1F497D"/>
        </w:rPr>
        <w:t>Colnet</w:t>
      </w:r>
      <w:proofErr w:type="spellEnd"/>
      <w:r w:rsidRPr="00F8236D">
        <w:rPr>
          <w:bCs/>
          <w:color w:val="1F497D"/>
        </w:rPr>
        <w:t xml:space="preserve">, Moodle) à des fins de recherche menée uniquement par le Cégep à distance. </w:t>
      </w:r>
    </w:p>
    <w:p w:rsidR="00986D45" w:rsidRPr="00F8236D" w:rsidRDefault="00F8236D">
      <w:pPr>
        <w:rPr>
          <w:color w:val="1F497D"/>
        </w:rPr>
      </w:pPr>
      <w:r w:rsidRPr="00F8236D">
        <w:rPr>
          <w:color w:val="1F497D"/>
        </w:rPr>
        <w:t>Bibliographie</w:t>
      </w:r>
    </w:p>
    <w:p w:rsidR="00986D45" w:rsidRPr="00F8236D" w:rsidRDefault="00986D45" w:rsidP="00F8236D">
      <w:pPr>
        <w:spacing w:after="120" w:line="240" w:lineRule="auto"/>
        <w:ind w:left="567" w:hanging="567"/>
        <w:rPr>
          <w:rFonts w:eastAsia="Times New Roman" w:cs="Times New Roman"/>
          <w:color w:val="1F497D"/>
          <w:sz w:val="20"/>
          <w:szCs w:val="20"/>
          <w:lang w:val="en-CA" w:eastAsia="fr-CA"/>
        </w:rPr>
      </w:pPr>
      <w:proofErr w:type="spellStart"/>
      <w:r w:rsidRPr="00986D45">
        <w:rPr>
          <w:rFonts w:eastAsia="Times New Roman" w:cs="Times New Roman"/>
          <w:color w:val="1F497D"/>
          <w:sz w:val="20"/>
          <w:szCs w:val="20"/>
          <w:lang w:val="en-CA" w:eastAsia="fr-CA"/>
        </w:rPr>
        <w:t>Gasevic</w:t>
      </w:r>
      <w:proofErr w:type="spellEnd"/>
      <w:r w:rsidRPr="00986D45">
        <w:rPr>
          <w:rFonts w:eastAsia="Times New Roman" w:cs="Times New Roman"/>
          <w:color w:val="1F497D"/>
          <w:sz w:val="20"/>
          <w:szCs w:val="20"/>
          <w:lang w:val="en-CA" w:eastAsia="fr-CA"/>
        </w:rPr>
        <w:t xml:space="preserve">, D., Siemens, G., &amp; Rose, C. P. (2017). Guest Editorial: Special Section on Learning Analytics. </w:t>
      </w:r>
      <w:r w:rsidRPr="00986D45">
        <w:rPr>
          <w:rFonts w:eastAsia="Times New Roman" w:cs="Times New Roman"/>
          <w:i/>
          <w:iCs/>
          <w:color w:val="1F497D"/>
          <w:sz w:val="20"/>
          <w:szCs w:val="20"/>
          <w:lang w:val="en-CA" w:eastAsia="fr-CA"/>
        </w:rPr>
        <w:t>IEEE Transactions on Learning Technologies</w:t>
      </w:r>
      <w:r w:rsidRPr="00986D45">
        <w:rPr>
          <w:rFonts w:eastAsia="Times New Roman" w:cs="Times New Roman"/>
          <w:color w:val="1F497D"/>
          <w:sz w:val="20"/>
          <w:szCs w:val="20"/>
          <w:lang w:val="en-CA" w:eastAsia="fr-CA"/>
        </w:rPr>
        <w:t xml:space="preserve">, </w:t>
      </w:r>
      <w:r w:rsidRPr="00986D45">
        <w:rPr>
          <w:rFonts w:eastAsia="Times New Roman" w:cs="Times New Roman"/>
          <w:i/>
          <w:iCs/>
          <w:color w:val="1F497D"/>
          <w:sz w:val="20"/>
          <w:szCs w:val="20"/>
          <w:lang w:val="en-CA" w:eastAsia="fr-CA"/>
        </w:rPr>
        <w:t>10</w:t>
      </w:r>
      <w:r w:rsidRPr="00986D45">
        <w:rPr>
          <w:rFonts w:eastAsia="Times New Roman" w:cs="Times New Roman"/>
          <w:color w:val="1F497D"/>
          <w:sz w:val="20"/>
          <w:szCs w:val="20"/>
          <w:lang w:val="en-CA" w:eastAsia="fr-CA"/>
        </w:rPr>
        <w:t>(1), 3-5.</w:t>
      </w:r>
    </w:p>
    <w:p w:rsidR="00F8236D" w:rsidRPr="00F8236D" w:rsidRDefault="00F8236D" w:rsidP="00F8236D">
      <w:pPr>
        <w:spacing w:after="120" w:line="240" w:lineRule="auto"/>
        <w:ind w:left="567" w:hanging="567"/>
        <w:rPr>
          <w:rFonts w:eastAsia="Times New Roman" w:cs="Times New Roman"/>
          <w:color w:val="1F497D"/>
          <w:sz w:val="20"/>
          <w:szCs w:val="20"/>
          <w:lang w:eastAsia="fr-CA"/>
        </w:rPr>
      </w:pPr>
      <w:proofErr w:type="spellStart"/>
      <w:r w:rsidRPr="00F8236D">
        <w:rPr>
          <w:rFonts w:eastAsia="Times New Roman" w:cs="Times New Roman"/>
          <w:color w:val="1F497D"/>
          <w:sz w:val="20"/>
          <w:szCs w:val="20"/>
          <w:lang w:eastAsia="fr-CA"/>
        </w:rPr>
        <w:t>Macfadyen</w:t>
      </w:r>
      <w:proofErr w:type="spellEnd"/>
      <w:r w:rsidRPr="00F8236D">
        <w:rPr>
          <w:rFonts w:eastAsia="Times New Roman" w:cs="Times New Roman"/>
          <w:color w:val="1F497D"/>
          <w:sz w:val="20"/>
          <w:szCs w:val="20"/>
          <w:lang w:eastAsia="fr-CA"/>
        </w:rPr>
        <w:t xml:space="preserve">, L. P., &amp; Dawson, S. (2010). </w:t>
      </w:r>
      <w:r w:rsidRPr="00F8236D">
        <w:rPr>
          <w:rFonts w:eastAsia="Times New Roman" w:cs="Times New Roman"/>
          <w:color w:val="1F497D"/>
          <w:sz w:val="20"/>
          <w:szCs w:val="20"/>
          <w:lang w:val="en-CA" w:eastAsia="fr-CA"/>
        </w:rPr>
        <w:t xml:space="preserve">Mining LMS data to develop an “early warning system” for educators: A proof of concept. </w:t>
      </w:r>
      <w:r w:rsidRPr="00F8236D">
        <w:rPr>
          <w:rFonts w:eastAsia="Times New Roman" w:cs="Times New Roman"/>
          <w:i/>
          <w:iCs/>
          <w:color w:val="1F497D"/>
          <w:sz w:val="20"/>
          <w:szCs w:val="20"/>
          <w:lang w:eastAsia="fr-CA"/>
        </w:rPr>
        <w:t xml:space="preserve">Computers &amp; </w:t>
      </w:r>
      <w:proofErr w:type="spellStart"/>
      <w:r w:rsidRPr="00F8236D">
        <w:rPr>
          <w:rFonts w:eastAsia="Times New Roman" w:cs="Times New Roman"/>
          <w:i/>
          <w:iCs/>
          <w:color w:val="1F497D"/>
          <w:sz w:val="20"/>
          <w:szCs w:val="20"/>
          <w:lang w:eastAsia="fr-CA"/>
        </w:rPr>
        <w:t>education</w:t>
      </w:r>
      <w:proofErr w:type="spellEnd"/>
      <w:r w:rsidRPr="00F8236D">
        <w:rPr>
          <w:rFonts w:eastAsia="Times New Roman" w:cs="Times New Roman"/>
          <w:color w:val="1F497D"/>
          <w:sz w:val="20"/>
          <w:szCs w:val="20"/>
          <w:lang w:eastAsia="fr-CA"/>
        </w:rPr>
        <w:t xml:space="preserve">, </w:t>
      </w:r>
      <w:r w:rsidRPr="00F8236D">
        <w:rPr>
          <w:rFonts w:eastAsia="Times New Roman" w:cs="Times New Roman"/>
          <w:i/>
          <w:iCs/>
          <w:color w:val="1F497D"/>
          <w:sz w:val="20"/>
          <w:szCs w:val="20"/>
          <w:lang w:eastAsia="fr-CA"/>
        </w:rPr>
        <w:t>54</w:t>
      </w:r>
      <w:r w:rsidRPr="00F8236D">
        <w:rPr>
          <w:rFonts w:eastAsia="Times New Roman" w:cs="Times New Roman"/>
          <w:color w:val="1F497D"/>
          <w:sz w:val="20"/>
          <w:szCs w:val="20"/>
          <w:lang w:eastAsia="fr-CA"/>
        </w:rPr>
        <w:t>(2), 588-599.</w:t>
      </w:r>
    </w:p>
    <w:p w:rsidR="00986D45" w:rsidRPr="00F8236D" w:rsidRDefault="00986D45" w:rsidP="00F8236D">
      <w:pPr>
        <w:ind w:left="567" w:hanging="567"/>
        <w:rPr>
          <w:color w:val="1F497D"/>
          <w:sz w:val="20"/>
          <w:szCs w:val="20"/>
        </w:rPr>
      </w:pPr>
      <w:r w:rsidRPr="00F8236D">
        <w:rPr>
          <w:rFonts w:cs="Segoe UI"/>
          <w:color w:val="1F497D"/>
          <w:sz w:val="20"/>
          <w:szCs w:val="20"/>
          <w:lang w:val="en-CA"/>
        </w:rPr>
        <w:t xml:space="preserve">Martin, F., </w:t>
      </w:r>
      <w:proofErr w:type="spellStart"/>
      <w:r w:rsidRPr="00F8236D">
        <w:rPr>
          <w:rFonts w:cs="Segoe UI"/>
          <w:color w:val="1F497D"/>
          <w:sz w:val="20"/>
          <w:szCs w:val="20"/>
          <w:lang w:val="en-CA"/>
        </w:rPr>
        <w:t>Ndoye</w:t>
      </w:r>
      <w:proofErr w:type="spellEnd"/>
      <w:r w:rsidRPr="00F8236D">
        <w:rPr>
          <w:rFonts w:cs="Segoe UI"/>
          <w:color w:val="1F497D"/>
          <w:sz w:val="20"/>
          <w:szCs w:val="20"/>
          <w:lang w:val="en-CA"/>
        </w:rPr>
        <w:t xml:space="preserve">, A., &amp; </w:t>
      </w:r>
      <w:proofErr w:type="spellStart"/>
      <w:r w:rsidRPr="00F8236D">
        <w:rPr>
          <w:rFonts w:cs="Segoe UI"/>
          <w:color w:val="1F497D"/>
          <w:sz w:val="20"/>
          <w:szCs w:val="20"/>
          <w:lang w:val="en-CA"/>
        </w:rPr>
        <w:t>Wilkins</w:t>
      </w:r>
      <w:proofErr w:type="spellEnd"/>
      <w:r w:rsidRPr="00F8236D">
        <w:rPr>
          <w:rFonts w:cs="Segoe UI"/>
          <w:color w:val="1F497D"/>
          <w:sz w:val="20"/>
          <w:szCs w:val="20"/>
          <w:lang w:val="en-CA"/>
        </w:rPr>
        <w:t xml:space="preserve">, P. (2016). Using Learning Analytics to Enhance Student Learning in Online Courses Based on Quality Matters Standards. </w:t>
      </w:r>
      <w:r w:rsidRPr="00F8236D">
        <w:rPr>
          <w:rFonts w:cs="Segoe UI"/>
          <w:i/>
          <w:iCs/>
          <w:color w:val="1F497D"/>
          <w:sz w:val="20"/>
          <w:szCs w:val="20"/>
        </w:rPr>
        <w:t xml:space="preserve">Journal of </w:t>
      </w:r>
      <w:proofErr w:type="spellStart"/>
      <w:r w:rsidRPr="00F8236D">
        <w:rPr>
          <w:rFonts w:cs="Segoe UI"/>
          <w:i/>
          <w:iCs/>
          <w:color w:val="1F497D"/>
          <w:sz w:val="20"/>
          <w:szCs w:val="20"/>
        </w:rPr>
        <w:t>Educational</w:t>
      </w:r>
      <w:proofErr w:type="spellEnd"/>
      <w:r w:rsidRPr="00F8236D">
        <w:rPr>
          <w:rFonts w:cs="Segoe UI"/>
          <w:i/>
          <w:iCs/>
          <w:color w:val="1F497D"/>
          <w:sz w:val="20"/>
          <w:szCs w:val="20"/>
        </w:rPr>
        <w:t xml:space="preserve"> </w:t>
      </w:r>
      <w:proofErr w:type="spellStart"/>
      <w:r w:rsidRPr="00F8236D">
        <w:rPr>
          <w:rFonts w:cs="Segoe UI"/>
          <w:i/>
          <w:iCs/>
          <w:color w:val="1F497D"/>
          <w:sz w:val="20"/>
          <w:szCs w:val="20"/>
        </w:rPr>
        <w:t>Technology</w:t>
      </w:r>
      <w:proofErr w:type="spellEnd"/>
      <w:r w:rsidRPr="00F8236D">
        <w:rPr>
          <w:rFonts w:cs="Segoe UI"/>
          <w:i/>
          <w:iCs/>
          <w:color w:val="1F497D"/>
          <w:sz w:val="20"/>
          <w:szCs w:val="20"/>
        </w:rPr>
        <w:t xml:space="preserve"> </w:t>
      </w:r>
      <w:proofErr w:type="spellStart"/>
      <w:r w:rsidRPr="00F8236D">
        <w:rPr>
          <w:rFonts w:cs="Segoe UI"/>
          <w:i/>
          <w:iCs/>
          <w:color w:val="1F497D"/>
          <w:sz w:val="20"/>
          <w:szCs w:val="20"/>
        </w:rPr>
        <w:t>Systems</w:t>
      </w:r>
      <w:proofErr w:type="spellEnd"/>
      <w:r w:rsidRPr="00F8236D">
        <w:rPr>
          <w:rFonts w:cs="Segoe UI"/>
          <w:i/>
          <w:iCs/>
          <w:color w:val="1F497D"/>
          <w:sz w:val="20"/>
          <w:szCs w:val="20"/>
        </w:rPr>
        <w:t>, 45</w:t>
      </w:r>
      <w:r w:rsidRPr="00F8236D">
        <w:rPr>
          <w:rFonts w:cs="Segoe UI"/>
          <w:color w:val="1F497D"/>
          <w:sz w:val="20"/>
          <w:szCs w:val="20"/>
        </w:rPr>
        <w:t>(2), 165-187. doi:10.1177/0047239516656369</w:t>
      </w:r>
    </w:p>
    <w:sectPr w:rsidR="00986D45" w:rsidRPr="00F823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DA" w:rsidRDefault="00937DDA" w:rsidP="00937DDA">
      <w:pPr>
        <w:spacing w:after="0" w:line="240" w:lineRule="auto"/>
      </w:pPr>
      <w:r>
        <w:separator/>
      </w:r>
    </w:p>
  </w:endnote>
  <w:endnote w:type="continuationSeparator" w:id="0">
    <w:p w:rsidR="00937DDA" w:rsidRDefault="00937DDA" w:rsidP="0093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Pieddepage"/>
    </w:pPr>
    <w:r>
      <w:t>Secteur de la recherche | 08-12-2017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DA" w:rsidRDefault="00937DDA" w:rsidP="00937DDA">
      <w:pPr>
        <w:spacing w:after="0" w:line="240" w:lineRule="auto"/>
      </w:pPr>
      <w:r>
        <w:separator/>
      </w:r>
    </w:p>
  </w:footnote>
  <w:footnote w:type="continuationSeparator" w:id="0">
    <w:p w:rsidR="00937DDA" w:rsidRDefault="00937DDA" w:rsidP="0093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DDA" w:rsidRDefault="00937D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80128"/>
    <w:multiLevelType w:val="multilevel"/>
    <w:tmpl w:val="1E70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2F"/>
    <w:rsid w:val="005D5E3C"/>
    <w:rsid w:val="008C0BCB"/>
    <w:rsid w:val="00937DDA"/>
    <w:rsid w:val="00986D45"/>
    <w:rsid w:val="009B4760"/>
    <w:rsid w:val="00C7788A"/>
    <w:rsid w:val="00D91F92"/>
    <w:rsid w:val="00F8236D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5A268-8BB3-41E8-BE35-AE48784F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863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C7788A"/>
    <w:rPr>
      <w:color w:val="0563C1"/>
      <w:u w:val="single"/>
    </w:rPr>
  </w:style>
  <w:style w:type="character" w:customStyle="1" w:styleId="highlight">
    <w:name w:val="highlight"/>
    <w:basedOn w:val="Policepardfaut"/>
    <w:rsid w:val="00D91F92"/>
  </w:style>
  <w:style w:type="paragraph" w:styleId="En-tte">
    <w:name w:val="header"/>
    <w:basedOn w:val="Normal"/>
    <w:link w:val="En-tteCar"/>
    <w:uiPriority w:val="99"/>
    <w:unhideWhenUsed/>
    <w:rsid w:val="00937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DDA"/>
  </w:style>
  <w:style w:type="paragraph" w:styleId="Pieddepage">
    <w:name w:val="footer"/>
    <w:basedOn w:val="Normal"/>
    <w:link w:val="PieddepageCar"/>
    <w:uiPriority w:val="99"/>
    <w:unhideWhenUsed/>
    <w:rsid w:val="00937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DDA"/>
  </w:style>
  <w:style w:type="character" w:styleId="Lienhypertextesuivivisit">
    <w:name w:val="FollowedHyperlink"/>
    <w:basedOn w:val="Policepardfaut"/>
    <w:uiPriority w:val="99"/>
    <w:semiHidden/>
    <w:unhideWhenUsed/>
    <w:rsid w:val="005D5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seigner.ulaval.ca/appui-a-l-innovation/appui-la-reussite-et-depistage-des-etudiants-en-difficult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egeplimoilou.ca/futurs-etudiants/programmes-et-formations/connaitre-pour-accompagner-plu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Facchin</dc:creator>
  <cp:keywords/>
  <dc:description/>
  <cp:lastModifiedBy>Andrei Boris</cp:lastModifiedBy>
  <cp:revision>2</cp:revision>
  <dcterms:created xsi:type="dcterms:W3CDTF">2017-12-22T19:28:00Z</dcterms:created>
  <dcterms:modified xsi:type="dcterms:W3CDTF">2017-12-22T19:28:00Z</dcterms:modified>
</cp:coreProperties>
</file>