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94B4" w14:textId="77777777" w:rsidR="002E4472" w:rsidRPr="004476A9" w:rsidRDefault="002E4472" w:rsidP="002E4472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0F161C"/>
          <w:kern w:val="36"/>
          <w:sz w:val="27"/>
          <w:szCs w:val="27"/>
          <w:lang w:eastAsia="fr-CA"/>
          <w14:ligatures w14:val="none"/>
        </w:rPr>
      </w:pPr>
      <w:r w:rsidRPr="004476A9">
        <w:rPr>
          <w:rFonts w:ascii="Arial" w:eastAsia="Times New Roman" w:hAnsi="Arial" w:cs="Arial"/>
          <w:b/>
          <w:bCs/>
          <w:color w:val="0F161C"/>
          <w:kern w:val="36"/>
          <w:sz w:val="27"/>
          <w:szCs w:val="27"/>
          <w:lang w:eastAsia="fr-CA"/>
          <w14:ligatures w14:val="none"/>
        </w:rPr>
        <w:t>En-têtes d’application Web</w:t>
      </w:r>
    </w:p>
    <w:p w14:paraId="7770B14D" w14:textId="77777777" w:rsidR="002E4472" w:rsidRDefault="002E4472" w:rsidP="002E4472">
      <w:pPr>
        <w:rPr>
          <w:rFonts w:ascii="Arial" w:hAnsi="Arial" w:cs="Arial"/>
          <w:color w:val="0F161C"/>
          <w:sz w:val="21"/>
          <w:szCs w:val="21"/>
          <w:shd w:val="clear" w:color="auto" w:fill="FFFFFF"/>
        </w:rPr>
      </w:pPr>
    </w:p>
    <w:p w14:paraId="394ED71A" w14:textId="77777777" w:rsidR="002E4472" w:rsidRDefault="002E4472" w:rsidP="002E4472">
      <w:r>
        <w:rPr>
          <w:rFonts w:ascii="Arial" w:hAnsi="Arial" w:cs="Arial"/>
          <w:color w:val="0F161C"/>
          <w:sz w:val="21"/>
          <w:szCs w:val="21"/>
          <w:shd w:val="clear" w:color="auto" w:fill="FFFFFF"/>
        </w:rPr>
        <w:t xml:space="preserve">Ce vecteur de risque analyse les champs liés à la sécurité dans la section d’en-tête des messages de requête et de réponse HTTP. S’ils sont configurés correctement, ces champs peuvent contribuer à fournir une protection contre les comportements malveillants, tels que les attaques de l’intercepteur du milieu et les attaques de type cross-site </w:t>
      </w:r>
      <w:proofErr w:type="spellStart"/>
      <w:r>
        <w:rPr>
          <w:rFonts w:ascii="Arial" w:hAnsi="Arial" w:cs="Arial"/>
          <w:color w:val="0F161C"/>
          <w:sz w:val="21"/>
          <w:szCs w:val="21"/>
          <w:shd w:val="clear" w:color="auto" w:fill="FFFFFF"/>
        </w:rPr>
        <w:t>scripting</w:t>
      </w:r>
      <w:proofErr w:type="spellEnd"/>
      <w:r>
        <w:rPr>
          <w:rFonts w:ascii="Arial" w:hAnsi="Arial" w:cs="Arial"/>
          <w:color w:val="0F161C"/>
          <w:sz w:val="21"/>
          <w:szCs w:val="21"/>
          <w:shd w:val="clear" w:color="auto" w:fill="FFFFFF"/>
        </w:rPr>
        <w:t>. Différents types d’en-têtes sont requis pour HTTP/1.0, HTTP/1.1 et HTTPS.</w:t>
      </w:r>
    </w:p>
    <w:p w14:paraId="06EA0E0F" w14:textId="77777777" w:rsidR="002E4472" w:rsidRPr="00DD370B" w:rsidRDefault="002E4472" w:rsidP="002E4472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Vecteur de risque</w:t>
      </w:r>
      <w:r w:rsidRPr="00DD370B">
        <w:rPr>
          <w:rFonts w:asciiTheme="minorBidi" w:hAnsiTheme="minorBidi"/>
          <w:sz w:val="24"/>
          <w:szCs w:val="24"/>
        </w:rPr>
        <w:t xml:space="preserve"> : </w:t>
      </w:r>
      <w:r w:rsidRPr="00DB2427">
        <w:rPr>
          <w:rFonts w:ascii="Arial" w:hAnsi="Arial" w:cs="Arial"/>
          <w:color w:val="0F161C"/>
          <w:sz w:val="21"/>
          <w:szCs w:val="21"/>
          <w:shd w:val="clear" w:color="auto" w:fill="FFFFFF"/>
        </w:rPr>
        <w:t>En-têtes d’application Web</w:t>
      </w:r>
    </w:p>
    <w:p w14:paraId="5C2A1B0E" w14:textId="640D3933" w:rsidR="002E4472" w:rsidRPr="0097595A" w:rsidRDefault="002E4472" w:rsidP="002E4472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color w:val="0F161C"/>
          <w:sz w:val="21"/>
          <w:szCs w:val="21"/>
          <w:shd w:val="clear" w:color="auto" w:fill="FFFFFF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Recherche d’identificateur</w:t>
      </w:r>
      <w:r w:rsidRPr="00DD370B">
        <w:rPr>
          <w:rFonts w:asciiTheme="minorBidi" w:hAnsiTheme="minorBidi"/>
          <w:sz w:val="24"/>
          <w:szCs w:val="24"/>
        </w:rPr>
        <w:t xml:space="preserve">: </w:t>
      </w:r>
      <w:r w:rsidRPr="002E4472">
        <w:rPr>
          <w:rFonts w:ascii="Arial" w:hAnsi="Arial" w:cs="Arial"/>
          <w:color w:val="0F161C"/>
          <w:sz w:val="21"/>
          <w:szCs w:val="21"/>
          <w:shd w:val="clear" w:color="auto" w:fill="FFFFFF"/>
        </w:rPr>
        <w:t>kit.cegepadistance.ca:80</w:t>
      </w:r>
    </w:p>
    <w:p w14:paraId="565CDE79" w14:textId="0228D807" w:rsidR="002E4472" w:rsidRPr="00DD370B" w:rsidRDefault="002E4472" w:rsidP="002E4472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Actif</w:t>
      </w:r>
      <w:r w:rsidRPr="00DD370B">
        <w:rPr>
          <w:rFonts w:asciiTheme="minorBidi" w:hAnsiTheme="minorBidi"/>
          <w:sz w:val="24"/>
          <w:szCs w:val="24"/>
        </w:rPr>
        <w:t xml:space="preserve"> : </w:t>
      </w:r>
      <w:r>
        <w:rPr>
          <w:rFonts w:ascii="Arial" w:hAnsi="Arial" w:cs="Arial"/>
          <w:color w:val="0F161C"/>
          <w:sz w:val="21"/>
          <w:szCs w:val="21"/>
          <w:shd w:val="clear" w:color="auto" w:fill="FFFFFF"/>
        </w:rPr>
        <w:t>69.90.160.150:443</w:t>
      </w:r>
    </w:p>
    <w:p w14:paraId="43CFA17F" w14:textId="77777777" w:rsidR="002E4472" w:rsidRPr="00DD370B" w:rsidRDefault="002E4472" w:rsidP="002E4472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G</w:t>
      </w:r>
      <w:r>
        <w:rPr>
          <w:rFonts w:asciiTheme="minorBidi" w:hAnsiTheme="minorBidi"/>
          <w:b/>
          <w:bCs/>
          <w:sz w:val="24"/>
          <w:szCs w:val="24"/>
        </w:rPr>
        <w:t>ravité</w:t>
      </w:r>
      <w:r w:rsidRPr="00DD370B">
        <w:rPr>
          <w:rFonts w:asciiTheme="minorBidi" w:hAnsiTheme="minorBidi"/>
          <w:sz w:val="24"/>
          <w:szCs w:val="24"/>
        </w:rPr>
        <w:t xml:space="preserve"> : </w:t>
      </w:r>
      <w:r>
        <w:rPr>
          <w:rFonts w:asciiTheme="minorBidi" w:hAnsiTheme="minorBidi"/>
          <w:sz w:val="24"/>
          <w:szCs w:val="24"/>
        </w:rPr>
        <w:t>Moyenne</w:t>
      </w:r>
    </w:p>
    <w:p w14:paraId="0F73614D" w14:textId="77777777" w:rsidR="002E4472" w:rsidRDefault="002E4472" w:rsidP="002E4472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Détails</w:t>
      </w:r>
      <w:r w:rsidRPr="00DD370B">
        <w:rPr>
          <w:rFonts w:asciiTheme="minorBidi" w:hAnsiTheme="minorBidi"/>
          <w:sz w:val="24"/>
          <w:szCs w:val="24"/>
        </w:rPr>
        <w:t xml:space="preserve"> : </w:t>
      </w:r>
    </w:p>
    <w:p w14:paraId="3D9583C6" w14:textId="4B34BBF7" w:rsidR="002E4472" w:rsidRDefault="002E4472" w:rsidP="002E4472">
      <w:pPr>
        <w:pStyle w:val="Paragraphedeliste"/>
        <w:ind w:left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</w:t>
      </w:r>
      <w:r w:rsidRPr="002E4472">
        <w:rPr>
          <w:rFonts w:asciiTheme="minorBidi" w:hAnsiTheme="minorBidi"/>
          <w:sz w:val="24"/>
          <w:szCs w:val="24"/>
        </w:rPr>
        <w:drawing>
          <wp:inline distT="0" distB="0" distL="0" distR="0" wp14:anchorId="559A6122" wp14:editId="424885F5">
            <wp:extent cx="1833190" cy="495222"/>
            <wp:effectExtent l="38100" t="38100" r="91440" b="958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4408" cy="498252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912478F" w14:textId="15F06BDA" w:rsidR="002E4472" w:rsidRDefault="002E4472" w:rsidP="002E4472">
      <w:r>
        <w:rPr>
          <w:noProof/>
        </w:rPr>
        <w:drawing>
          <wp:inline distT="0" distB="0" distL="0" distR="0" wp14:anchorId="35F87780" wp14:editId="253D4956">
            <wp:extent cx="5486400" cy="2199005"/>
            <wp:effectExtent l="38100" t="38100" r="95250" b="8699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9900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92C04D0" w14:textId="77777777" w:rsidR="002E4472" w:rsidRDefault="002E4472" w:rsidP="002E4472">
      <w:pPr>
        <w:rPr>
          <w:lang w:val="en-CA"/>
        </w:rPr>
      </w:pPr>
      <w:r>
        <w:rPr>
          <w:lang w:val="en-CA"/>
        </w:rPr>
        <w:t xml:space="preserve">Lien </w:t>
      </w:r>
      <w:proofErr w:type="spellStart"/>
      <w:r>
        <w:rPr>
          <w:lang w:val="en-CA"/>
        </w:rPr>
        <w:t>liste</w:t>
      </w:r>
      <w:proofErr w:type="spellEnd"/>
      <w:r>
        <w:rPr>
          <w:lang w:val="en-CA"/>
        </w:rPr>
        <w:t xml:space="preserve"> des </w:t>
      </w:r>
      <w:proofErr w:type="spellStart"/>
      <w:r>
        <w:rPr>
          <w:lang w:val="en-CA"/>
        </w:rPr>
        <w:t>en-têtes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requis</w:t>
      </w:r>
      <w:proofErr w:type="spellEnd"/>
      <w:r>
        <w:rPr>
          <w:lang w:val="en-CA"/>
        </w:rPr>
        <w:t xml:space="preserve"> : </w:t>
      </w:r>
      <w:hyperlink r:id="rId8" w:history="1">
        <w:r>
          <w:rPr>
            <w:rStyle w:val="Lienhypertexte"/>
            <w:lang w:val="en-CA"/>
          </w:rPr>
          <w:t xml:space="preserve">How is the Web Application Headers Risk Vector Assessed? – </w:t>
        </w:r>
        <w:proofErr w:type="spellStart"/>
        <w:r>
          <w:rPr>
            <w:rStyle w:val="Lienhypertexte"/>
            <w:lang w:val="en-CA"/>
          </w:rPr>
          <w:t>Bitsight</w:t>
        </w:r>
        <w:proofErr w:type="spellEnd"/>
        <w:r>
          <w:rPr>
            <w:rStyle w:val="Lienhypertexte"/>
            <w:lang w:val="en-CA"/>
          </w:rPr>
          <w:t xml:space="preserve"> Knowledge Base (bitsighttech.com)</w:t>
        </w:r>
      </w:hyperlink>
    </w:p>
    <w:p w14:paraId="3CAC8C05" w14:textId="51838786" w:rsidR="002E4472" w:rsidRDefault="002E4472" w:rsidP="002E4472">
      <w:pPr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180D4A76" wp14:editId="039DA304">
            <wp:extent cx="1407160" cy="294005"/>
            <wp:effectExtent l="0" t="0" r="2540" b="1079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46D57" w14:textId="0339D0F9" w:rsidR="002E4472" w:rsidRDefault="002E4472" w:rsidP="002E4472">
      <w:pPr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50EE45FE" wp14:editId="3511189E">
            <wp:extent cx="5486400" cy="1167765"/>
            <wp:effectExtent l="38100" t="38100" r="95250" b="895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6776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636E0E" w14:textId="77777777" w:rsidR="002E4472" w:rsidRDefault="002E4472" w:rsidP="002E4472">
      <w:pPr>
        <w:ind w:left="708"/>
        <w:rPr>
          <w:lang w:val="en-CA"/>
        </w:rPr>
      </w:pPr>
    </w:p>
    <w:p w14:paraId="367FACEC" w14:textId="16AB405C" w:rsidR="002E4472" w:rsidRPr="002E4472" w:rsidRDefault="002E4472" w:rsidP="002E4472">
      <w:pPr>
        <w:rPr>
          <w:lang w:val="en-CA"/>
        </w:rPr>
      </w:pPr>
      <w:r>
        <w:rPr>
          <w:lang w:val="en-CA"/>
        </w:rPr>
        <w:t xml:space="preserve">Lien </w:t>
      </w:r>
      <w:proofErr w:type="spellStart"/>
      <w:r>
        <w:rPr>
          <w:lang w:val="en-CA"/>
        </w:rPr>
        <w:t>liste</w:t>
      </w:r>
      <w:proofErr w:type="spellEnd"/>
      <w:r>
        <w:rPr>
          <w:lang w:val="en-CA"/>
        </w:rPr>
        <w:t xml:space="preserve"> des </w:t>
      </w:r>
      <w:proofErr w:type="spellStart"/>
      <w:r>
        <w:rPr>
          <w:lang w:val="en-CA"/>
        </w:rPr>
        <w:t>en-têtes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requis</w:t>
      </w:r>
      <w:proofErr w:type="spellEnd"/>
      <w:r>
        <w:rPr>
          <w:lang w:val="en-CA"/>
        </w:rPr>
        <w:t xml:space="preserve"> : </w:t>
      </w:r>
      <w:hyperlink r:id="rId13" w:history="1">
        <w:r>
          <w:rPr>
            <w:rStyle w:val="Lienhypertexte"/>
            <w:lang w:val="en-CA"/>
          </w:rPr>
          <w:t xml:space="preserve">How is the Web Application Headers Risk Vector Assessed? – </w:t>
        </w:r>
        <w:proofErr w:type="spellStart"/>
        <w:r>
          <w:rPr>
            <w:rStyle w:val="Lienhypertexte"/>
            <w:lang w:val="en-CA"/>
          </w:rPr>
          <w:t>Bitsight</w:t>
        </w:r>
        <w:proofErr w:type="spellEnd"/>
        <w:r>
          <w:rPr>
            <w:rStyle w:val="Lienhypertexte"/>
            <w:lang w:val="en-CA"/>
          </w:rPr>
          <w:t xml:space="preserve"> Knowledge Base (bitsighttech.com)</w:t>
        </w:r>
      </w:hyperlink>
    </w:p>
    <w:sectPr w:rsidR="002E4472" w:rsidRPr="002E4472" w:rsidSect="002E4472"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135D9"/>
    <w:multiLevelType w:val="hybridMultilevel"/>
    <w:tmpl w:val="FC700A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C4414"/>
    <w:multiLevelType w:val="hybridMultilevel"/>
    <w:tmpl w:val="C804F3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44794"/>
    <w:multiLevelType w:val="hybridMultilevel"/>
    <w:tmpl w:val="79947F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966A8"/>
    <w:multiLevelType w:val="hybridMultilevel"/>
    <w:tmpl w:val="F38626F4"/>
    <w:lvl w:ilvl="0" w:tplc="8B70BA34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  <w:color w:val="0F161C"/>
        <w:sz w:val="21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70928">
    <w:abstractNumId w:val="1"/>
  </w:num>
  <w:num w:numId="2" w16cid:durableId="986057066">
    <w:abstractNumId w:val="3"/>
  </w:num>
  <w:num w:numId="3" w16cid:durableId="1411392139">
    <w:abstractNumId w:val="2"/>
  </w:num>
  <w:num w:numId="4" w16cid:durableId="1988972566">
    <w:abstractNumId w:val="0"/>
  </w:num>
  <w:num w:numId="5" w16cid:durableId="148461871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72"/>
    <w:rsid w:val="002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551E"/>
  <w15:chartTrackingRefBased/>
  <w15:docId w15:val="{18CF07DE-3EC9-4F38-B595-721C97AB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4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4472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2E447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bitsighttech.com/hc/en-us/articles/360008632054-How-is-the-Web-Application-Headers-Risk-Vector-Assessed" TargetMode="External"/><Relationship Id="rId13" Type="http://schemas.openxmlformats.org/officeDocument/2006/relationships/hyperlink" Target="https://help.bitsighttech.com/hc/en-us/articles/360008632054-How-is-the-Web-Application-Headers-Risk-Vector-Assessed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A89B6.F6548B80" TargetMode="External"/><Relationship Id="rId12" Type="http://schemas.openxmlformats.org/officeDocument/2006/relationships/image" Target="cid:image003.png@01DA89B6.F6548B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cid:image002.png@01DA89B6.F6548B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Kaamouz</dc:creator>
  <cp:keywords/>
  <dc:description/>
  <cp:lastModifiedBy>Hassan Kaamouz</cp:lastModifiedBy>
  <cp:revision>1</cp:revision>
  <dcterms:created xsi:type="dcterms:W3CDTF">2024-04-09T15:05:00Z</dcterms:created>
  <dcterms:modified xsi:type="dcterms:W3CDTF">2024-04-09T15:08:00Z</dcterms:modified>
</cp:coreProperties>
</file>